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00C3B">
      <w:pPr>
        <w:spacing w:before="840" w:after="160"/>
      </w:pPr>
      <w:bookmarkStart w:id="35" w:name="_GoBack"/>
      <w:bookmarkEnd w:id="35"/>
      <w:r>
        <w:rPr>
          <w:rFonts w:ascii="Calibri" w:hAnsi="Calibri" w:eastAsia="微软雅黑"/>
          <w:b/>
          <w:color w:val="2E74B5"/>
          <w:sz w:val="20"/>
        </w:rPr>
        <w:t>PCT INTELLIGENCE REPORT</w:t>
      </w:r>
    </w:p>
    <w:p w14:paraId="74BE7255">
      <w:pPr>
        <w:spacing w:after="160"/>
      </w:pPr>
      <w:r>
        <w:rPr>
          <w:rFonts w:ascii="Calibri" w:hAnsi="Calibri" w:eastAsia="微软雅黑"/>
          <w:b/>
          <w:color w:val="0B2545"/>
          <w:sz w:val="56"/>
        </w:rPr>
        <w:t>Tencent AI Agent Harness</w:t>
      </w:r>
    </w:p>
    <w:p w14:paraId="330DE49A">
      <w:pPr>
        <w:spacing w:after="360"/>
      </w:pPr>
      <w:r>
        <w:rPr>
          <w:rFonts w:ascii="Calibri" w:hAnsi="Calibri" w:eastAsia="微软雅黑"/>
          <w:b/>
          <w:color w:val="1F4D78"/>
          <w:sz w:val="42"/>
        </w:rPr>
        <w:t>Application KYC &amp; Opportunity Map</w:t>
      </w:r>
    </w:p>
    <w:p w14:paraId="35C24B47">
      <w:pPr>
        <w:spacing w:after="480"/>
      </w:pPr>
      <w:r>
        <w:rPr>
          <w:rFonts w:ascii="Calibri" w:hAnsi="Calibri" w:eastAsia="微软雅黑"/>
          <w:color w:val="52677D"/>
          <w:sz w:val="24"/>
        </w:rPr>
        <w:t>Build and Evaluate AI-Native Agent Systems End-to-End.</w:t>
      </w:r>
    </w:p>
    <w:tbl>
      <w:tblPr>
        <w:tblStyle w:val="35"/>
        <w:tblW w:w="9360" w:type="dxa"/>
        <w:tblInd w:w="120" w:type="dxa"/>
        <w:tblBorders>
          <w:top w:val="single" w:color="D6E0E8" w:sz="4" w:space="0"/>
          <w:left w:val="single" w:color="D6E0E8" w:sz="4" w:space="0"/>
          <w:bottom w:val="single" w:color="D6E0E8" w:sz="4" w:space="0"/>
          <w:right w:val="single" w:color="D6E0E8" w:sz="4" w:space="0"/>
          <w:insideH w:val="single" w:color="D6E0E8" w:sz="4" w:space="0"/>
          <w:insideV w:val="single" w:color="D6E0E8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340"/>
        <w:gridCol w:w="2340"/>
        <w:gridCol w:w="2340"/>
      </w:tblGrid>
      <w:tr w14:paraId="4DC0CAB7">
        <w:tblPrEx>
          <w:tblBorders>
            <w:top w:val="single" w:color="D6E0E8" w:sz="4" w:space="0"/>
            <w:left w:val="single" w:color="D6E0E8" w:sz="4" w:space="0"/>
            <w:bottom w:val="single" w:color="D6E0E8" w:sz="4" w:space="0"/>
            <w:right w:val="single" w:color="D6E0E8" w:sz="4" w:space="0"/>
            <w:insideH w:val="single" w:color="D6E0E8" w:sz="4" w:space="0"/>
            <w:insideV w:val="single" w:color="D6E0E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0A723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42"/>
              </w:rPr>
              <w:t>9</w:t>
            </w:r>
          </w:p>
        </w:tc>
        <w:tc>
          <w:tcPr>
            <w:tcW w:w="234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AA10A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42"/>
              </w:rPr>
              <w:t>1</w:t>
            </w:r>
          </w:p>
        </w:tc>
        <w:tc>
          <w:tcPr>
            <w:tcW w:w="23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F5B49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42"/>
              </w:rPr>
              <w:t>6</w:t>
            </w:r>
          </w:p>
        </w:tc>
        <w:tc>
          <w:tcPr>
            <w:tcW w:w="23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B6273"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42"/>
              </w:rPr>
              <w:t>2</w:t>
            </w:r>
          </w:p>
        </w:tc>
      </w:tr>
      <w:tr w14:paraId="05D6ADDD">
        <w:tblPrEx>
          <w:tblBorders>
            <w:top w:val="single" w:color="D6E0E8" w:sz="4" w:space="0"/>
            <w:left w:val="single" w:color="D6E0E8" w:sz="4" w:space="0"/>
            <w:bottom w:val="single" w:color="D6E0E8" w:sz="4" w:space="0"/>
            <w:right w:val="single" w:color="D6E0E8" w:sz="4" w:space="0"/>
            <w:insideH w:val="single" w:color="D6E0E8" w:sz="4" w:space="0"/>
            <w:insideV w:val="single" w:color="D6E0E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C89B8">
            <w:pPr>
              <w:spacing w:after="0"/>
              <w:jc w:val="center"/>
            </w:pPr>
            <w:r>
              <w:rPr>
                <w:rFonts w:ascii="Calibri" w:hAnsi="Calibri" w:eastAsia="微软雅黑"/>
                <w:b/>
                <w:color w:val="52677D"/>
                <w:sz w:val="16"/>
              </w:rPr>
              <w:t>PRIORITY ROLES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B1772">
            <w:pPr>
              <w:spacing w:after="0"/>
              <w:jc w:val="center"/>
            </w:pPr>
            <w:r>
              <w:rPr>
                <w:rFonts w:ascii="Calibri" w:hAnsi="Calibri" w:eastAsia="微软雅黑"/>
                <w:b/>
                <w:color w:val="52677D"/>
                <w:sz w:val="16"/>
              </w:rPr>
              <w:t>P0 APPLY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88F5C">
            <w:pPr>
              <w:spacing w:after="0"/>
              <w:jc w:val="center"/>
            </w:pPr>
            <w:r>
              <w:rPr>
                <w:rFonts w:ascii="Calibri" w:hAnsi="Calibri" w:eastAsia="微软雅黑"/>
                <w:b/>
                <w:color w:val="52677D"/>
                <w:sz w:val="16"/>
              </w:rPr>
              <w:t>P1 ADJACENT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E08F9">
            <w:pPr>
              <w:spacing w:after="0"/>
              <w:jc w:val="center"/>
            </w:pPr>
            <w:r>
              <w:rPr>
                <w:rFonts w:ascii="Calibri" w:hAnsi="Calibri" w:eastAsia="微软雅黑"/>
                <w:b/>
                <w:color w:val="52677D"/>
                <w:sz w:val="16"/>
              </w:rPr>
              <w:t>P2 STRETCH</w:t>
            </w:r>
          </w:p>
        </w:tc>
      </w:tr>
    </w:tbl>
    <w:p w14:paraId="1D5893DC"/>
    <w:p w14:paraId="3A27D1FE">
      <w:pPr>
        <w:spacing w:after="40"/>
      </w:pPr>
      <w:r>
        <w:rPr>
          <w:rFonts w:ascii="Calibri" w:hAnsi="Calibri" w:eastAsia="微软雅黑"/>
          <w:b/>
          <w:color w:val="52677D"/>
          <w:sz w:val="18"/>
        </w:rPr>
        <w:t xml:space="preserve">Report ID: </w:t>
      </w:r>
      <w:r>
        <w:rPr>
          <w:rFonts w:ascii="Calibri" w:hAnsi="Calibri" w:eastAsia="微软雅黑"/>
          <w:color w:val="0B2545"/>
          <w:sz w:val="18"/>
        </w:rPr>
        <w:t>PCT-TENCENT-AI-20260901-001</w:t>
      </w:r>
    </w:p>
    <w:p w14:paraId="5C5CBB8A">
      <w:pPr>
        <w:spacing w:after="40"/>
      </w:pPr>
      <w:r>
        <w:rPr>
          <w:rFonts w:ascii="Calibri" w:hAnsi="Calibri" w:eastAsia="微软雅黑"/>
          <w:b/>
          <w:color w:val="52677D"/>
          <w:sz w:val="18"/>
        </w:rPr>
        <w:t xml:space="preserve">Snapshot: </w:t>
      </w:r>
      <w:r>
        <w:rPr>
          <w:rFonts w:ascii="Calibri" w:hAnsi="Calibri" w:eastAsia="微软雅黑"/>
          <w:color w:val="0B2545"/>
          <w:sz w:val="18"/>
        </w:rPr>
        <w:t>2026-09-01</w:t>
      </w:r>
    </w:p>
    <w:p w14:paraId="2A703621">
      <w:pPr>
        <w:spacing w:after="40"/>
      </w:pPr>
      <w:r>
        <w:rPr>
          <w:rFonts w:ascii="Calibri" w:hAnsi="Calibri" w:eastAsia="微软雅黑"/>
          <w:b/>
          <w:color w:val="52677D"/>
          <w:sz w:val="18"/>
        </w:rPr>
        <w:t xml:space="preserve">Primary target: </w:t>
      </w:r>
      <w:r>
        <w:rPr>
          <w:rFonts w:ascii="Calibri" w:hAnsi="Calibri" w:eastAsia="微软雅黑"/>
          <w:color w:val="0B2545"/>
          <w:sz w:val="18"/>
        </w:rPr>
        <w:t>Hunyuan AI Agent Harness Engineer</w:t>
      </w:r>
    </w:p>
    <w:p w14:paraId="23EF2E85">
      <w:pPr>
        <w:spacing w:after="40"/>
      </w:pPr>
      <w:r>
        <w:rPr>
          <w:rFonts w:ascii="Calibri" w:hAnsi="Calibri" w:eastAsia="微软雅黑"/>
          <w:b/>
          <w:color w:val="52677D"/>
          <w:sz w:val="18"/>
        </w:rPr>
        <w:t xml:space="preserve">Evidence: </w:t>
      </w:r>
      <w:r>
        <w:rPr>
          <w:rFonts w:ascii="Calibri" w:hAnsi="Calibri" w:eastAsia="微软雅黑"/>
          <w:color w:val="0B2545"/>
          <w:sz w:val="18"/>
        </w:rPr>
        <w:t>Official public sources + labelled analyst interpretation</w:t>
      </w:r>
    </w:p>
    <w:p w14:paraId="21799ECC">
      <w:pPr>
        <w:spacing w:after="40"/>
      </w:pPr>
      <w:r>
        <w:rPr>
          <w:rFonts w:ascii="Calibri" w:hAnsi="Calibri" w:eastAsia="微软雅黑"/>
          <w:b/>
          <w:color w:val="52677D"/>
          <w:sz w:val="18"/>
        </w:rPr>
        <w:t xml:space="preserve">Decision: </w:t>
      </w:r>
      <w:r>
        <w:rPr>
          <w:rFonts w:ascii="Calibri" w:hAnsi="Calibri" w:eastAsia="微软雅黑"/>
          <w:color w:val="0B2545"/>
          <w:sz w:val="18"/>
        </w:rPr>
        <w:t>APPLY NOW after Human Gate</w:t>
      </w:r>
    </w:p>
    <w:p w14:paraId="06372155">
      <w:pPr>
        <w:pBdr>
          <w:bottom w:val="single" w:color="C38B2A" w:sz="12" w:space="5"/>
        </w:pBdr>
        <w:spacing w:before="480"/>
      </w:pPr>
      <w:r>
        <w:rPr>
          <w:rFonts w:ascii="Calibri" w:hAnsi="Calibri" w:eastAsia="微软雅黑"/>
          <w:b/>
          <w:color w:val="9B1C1C"/>
          <w:sz w:val="19"/>
        </w:rPr>
        <w:t>Public hiring surface, not an internal organization chart. No headcount, urgency, compensation, reporting-line, or hiring-probability claim.</w:t>
      </w:r>
    </w:p>
    <w:p w14:paraId="558EB2A8">
      <w:r>
        <w:br w:type="page"/>
      </w:r>
    </w:p>
    <w:p w14:paraId="7EB3DBCF">
      <w:pPr>
        <w:pStyle w:val="3"/>
      </w:pPr>
      <w:bookmarkStart w:id="0" w:name="_Toc3061"/>
      <w:r>
        <w:t>Contents</w:t>
      </w:r>
      <w:bookmarkEnd w:id="0"/>
    </w:p>
    <w:p w14:paraId="22DE3563">
      <w:pPr>
        <w:pStyle w:val="27"/>
        <w:tabs>
          <w:tab w:val="right" w:leader="dot" w:pos="9360"/>
        </w:tabs>
      </w:pPr>
      <w:r>
        <w:fldChar w:fldCharType="begin"/>
      </w:r>
      <w:r>
        <w:instrText xml:space="preserve">TOC \o "1-3" \h \z \u</w:instrText>
      </w:r>
      <w:r>
        <w:fldChar w:fldCharType="separate"/>
      </w:r>
      <w:r>
        <w:fldChar w:fldCharType="begin"/>
      </w:r>
      <w:r>
        <w:instrText xml:space="preserve"> HYPERLINK \l _Toc3061 </w:instrText>
      </w:r>
      <w:r>
        <w:fldChar w:fldCharType="separate"/>
      </w:r>
      <w:r>
        <w:t>Contents</w:t>
      </w:r>
      <w:r>
        <w:tab/>
      </w:r>
      <w:r>
        <w:fldChar w:fldCharType="begin"/>
      </w:r>
      <w:r>
        <w:instrText xml:space="preserve"> PAGEREF _Toc3061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76DB19A3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_Toc29165 </w:instrText>
      </w:r>
      <w:r>
        <w:fldChar w:fldCharType="separate"/>
      </w:r>
      <w:r>
        <w:rPr>
          <w:rFonts w:ascii="Calibri" w:hAnsi="Calibri" w:eastAsia="微软雅黑"/>
          <w:i w:val="0"/>
        </w:rPr>
        <w:t>1. Executive decision</w:t>
      </w:r>
      <w:r>
        <w:tab/>
      </w:r>
      <w:r>
        <w:fldChar w:fldCharType="begin"/>
      </w:r>
      <w:r>
        <w:instrText xml:space="preserve"> PAGEREF _Toc29165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57611420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_Toc12860 </w:instrText>
      </w:r>
      <w:r>
        <w:fldChar w:fldCharType="separate"/>
      </w:r>
      <w:r>
        <w:rPr>
          <w:rFonts w:ascii="Calibri" w:hAnsi="Calibri" w:eastAsia="微软雅黑"/>
          <w:i w:val="0"/>
        </w:rPr>
        <w:t>2. Method and evidence discipline</w:t>
      </w:r>
      <w:r>
        <w:tab/>
      </w:r>
      <w:r>
        <w:fldChar w:fldCharType="begin"/>
      </w:r>
      <w:r>
        <w:instrText xml:space="preserve"> PAGEREF _Toc12860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087CFF36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_Toc23382 </w:instrText>
      </w:r>
      <w:r>
        <w:fldChar w:fldCharType="separate"/>
      </w:r>
      <w:r>
        <w:rPr>
          <w:rFonts w:ascii="Calibri" w:hAnsi="Calibri" w:eastAsia="微软雅黑"/>
          <w:i w:val="0"/>
        </w:rPr>
        <w:t>2.1 Frozen public surface</w:t>
      </w:r>
      <w:r>
        <w:tab/>
      </w:r>
      <w:r>
        <w:fldChar w:fldCharType="begin"/>
      </w:r>
      <w:r>
        <w:instrText xml:space="preserve"> PAGEREF _Toc23382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DB60F8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_Toc8164 </w:instrText>
      </w:r>
      <w:r>
        <w:fldChar w:fldCharType="separate"/>
      </w:r>
      <w:r>
        <w:rPr>
          <w:rFonts w:ascii="Calibri" w:hAnsi="Calibri" w:eastAsia="微软雅黑"/>
          <w:i w:val="0"/>
        </w:rPr>
        <w:t>2.2 Three evidence classes</w:t>
      </w:r>
      <w:r>
        <w:tab/>
      </w:r>
      <w:r>
        <w:fldChar w:fldCharType="begin"/>
      </w:r>
      <w:r>
        <w:instrText xml:space="preserve"> PAGEREF _Toc8164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F14CC60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_Toc22742 </w:instrText>
      </w:r>
      <w:r>
        <w:fldChar w:fldCharType="separate"/>
      </w:r>
      <w:r>
        <w:rPr>
          <w:rFonts w:ascii="Calibri" w:hAnsi="Calibri" w:eastAsia="微软雅黑"/>
          <w:i w:val="0"/>
        </w:rPr>
        <w:t>3. Tencent AI operating context</w:t>
      </w:r>
      <w:r>
        <w:tab/>
      </w:r>
      <w:r>
        <w:fldChar w:fldCharType="begin"/>
      </w:r>
      <w:r>
        <w:instrText xml:space="preserve"> PAGEREF _Toc22742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33BEA17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_Toc1948 </w:instrText>
      </w:r>
      <w:r>
        <w:fldChar w:fldCharType="separate"/>
      </w:r>
      <w:r>
        <w:rPr>
          <w:rFonts w:ascii="Calibri" w:hAnsi="Calibri" w:eastAsia="微软雅黑"/>
          <w:i w:val="0"/>
        </w:rPr>
        <w:t>3.1 Public company signal</w:t>
      </w:r>
      <w:r>
        <w:tab/>
      </w:r>
      <w:r>
        <w:fldChar w:fldCharType="begin"/>
      </w:r>
      <w:r>
        <w:instrText xml:space="preserve"> PAGEREF _Toc1948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0883942A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_Toc26155 </w:instrText>
      </w:r>
      <w:r>
        <w:fldChar w:fldCharType="separate"/>
      </w:r>
      <w:r>
        <w:rPr>
          <w:rFonts w:ascii="Calibri" w:hAnsi="Calibri" w:eastAsia="微软雅黑"/>
          <w:i w:val="0"/>
        </w:rPr>
        <w:t>3.2 Technical architecture inferred from public roles</w:t>
      </w:r>
      <w:r>
        <w:tab/>
      </w:r>
      <w:r>
        <w:fldChar w:fldCharType="begin"/>
      </w:r>
      <w:r>
        <w:instrText xml:space="preserve"> PAGEREF _Toc26155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0AF7F8C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_Toc25288 </w:instrText>
      </w:r>
      <w:r>
        <w:fldChar w:fldCharType="separate"/>
      </w:r>
      <w:r>
        <w:rPr>
          <w:rFonts w:ascii="Calibri" w:hAnsi="Calibri" w:eastAsia="微软雅黑"/>
          <w:i w:val="0"/>
        </w:rPr>
        <w:t>3.3 Open-source and cloud-adjacent reference points</w:t>
      </w:r>
      <w:r>
        <w:tab/>
      </w:r>
      <w:r>
        <w:fldChar w:fldCharType="begin"/>
      </w:r>
      <w:r>
        <w:instrText xml:space="preserve"> PAGEREF _Toc25288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43936035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_Toc22848 </w:instrText>
      </w:r>
      <w:r>
        <w:fldChar w:fldCharType="separate"/>
      </w:r>
      <w:r>
        <w:rPr>
          <w:rFonts w:ascii="Calibri" w:hAnsi="Calibri" w:eastAsia="微软雅黑"/>
          <w:i w:val="0"/>
        </w:rPr>
        <w:t>4. Priority opportunity map</w:t>
      </w:r>
      <w:r>
        <w:tab/>
      </w:r>
      <w:r>
        <w:fldChar w:fldCharType="begin"/>
      </w:r>
      <w:r>
        <w:instrText xml:space="preserve"> PAGEREF _Toc22848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74027017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_Toc20833 </w:instrText>
      </w:r>
      <w:r>
        <w:fldChar w:fldCharType="separate"/>
      </w:r>
      <w:r>
        <w:rPr>
          <w:rFonts w:ascii="Calibri" w:hAnsi="Calibri" w:eastAsia="微软雅黑"/>
          <w:i w:val="0"/>
        </w:rPr>
        <w:t>5. P0 JD decomposition</w:t>
      </w:r>
      <w:r>
        <w:tab/>
      </w:r>
      <w:r>
        <w:fldChar w:fldCharType="begin"/>
      </w:r>
      <w:r>
        <w:instrText xml:space="preserve"> PAGEREF _Toc20833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0E9FC04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_Toc13589 </w:instrText>
      </w:r>
      <w:r>
        <w:fldChar w:fldCharType="separate"/>
      </w:r>
      <w:r>
        <w:rPr>
          <w:rFonts w:ascii="Calibri" w:hAnsi="Calibri" w:eastAsia="微软雅黑"/>
          <w:i w:val="0"/>
        </w:rPr>
        <w:t>5.1 Output contract</w:t>
      </w:r>
      <w:r>
        <w:tab/>
      </w:r>
      <w:r>
        <w:fldChar w:fldCharType="begin"/>
      </w:r>
      <w:r>
        <w:instrText xml:space="preserve"> PAGEREF _Toc13589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62CD85DA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_Toc18848 </w:instrText>
      </w:r>
      <w:r>
        <w:fldChar w:fldCharType="separate"/>
      </w:r>
      <w:r>
        <w:rPr>
          <w:rFonts w:ascii="Calibri" w:hAnsi="Calibri" w:eastAsia="微软雅黑"/>
          <w:i w:val="0"/>
        </w:rPr>
        <w:t>5.2 Capability-to-evidence map</w:t>
      </w:r>
      <w:r>
        <w:tab/>
      </w:r>
      <w:r>
        <w:fldChar w:fldCharType="begin"/>
      </w:r>
      <w:r>
        <w:instrText xml:space="preserve"> PAGEREF _Toc18848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25CE364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_Toc8506 </w:instrText>
      </w:r>
      <w:r>
        <w:fldChar w:fldCharType="separate"/>
      </w:r>
      <w:r>
        <w:rPr>
          <w:rFonts w:ascii="Calibri" w:hAnsi="Calibri" w:eastAsia="微软雅黑"/>
          <w:i w:val="0"/>
        </w:rPr>
        <w:t>5.3 The strongest public evidence story</w:t>
      </w:r>
      <w:r>
        <w:tab/>
      </w:r>
      <w:r>
        <w:fldChar w:fldCharType="begin"/>
      </w:r>
      <w:r>
        <w:instrText xml:space="preserve"> PAGEREF _Toc8506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2835616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_Toc7724 </w:instrText>
      </w:r>
      <w:r>
        <w:fldChar w:fldCharType="separate"/>
      </w:r>
      <w:r>
        <w:rPr>
          <w:rFonts w:ascii="Calibri" w:hAnsi="Calibri" w:eastAsia="微软雅黑"/>
          <w:i w:val="0"/>
        </w:rPr>
        <w:t>5.4 Eligibility and honesty gate</w:t>
      </w:r>
      <w:r>
        <w:tab/>
      </w:r>
      <w:r>
        <w:fldChar w:fldCharType="begin"/>
      </w:r>
      <w:r>
        <w:instrText xml:space="preserve"> PAGEREF _Toc7724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4F08B6D7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_Toc4547 </w:instrText>
      </w:r>
      <w:r>
        <w:fldChar w:fldCharType="separate"/>
      </w:r>
      <w:r>
        <w:rPr>
          <w:rFonts w:ascii="Calibri" w:hAnsi="Calibri" w:eastAsia="微软雅黑"/>
          <w:i w:val="0"/>
        </w:rPr>
        <w:t>6. Candidate positioning</w:t>
      </w:r>
      <w:r>
        <w:tab/>
      </w:r>
      <w:r>
        <w:fldChar w:fldCharType="begin"/>
      </w:r>
      <w:r>
        <w:instrText xml:space="preserve"> PAGEREF _Toc4547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1B657B3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_Toc22188 </w:instrText>
      </w:r>
      <w:r>
        <w:fldChar w:fldCharType="separate"/>
      </w:r>
      <w:r>
        <w:rPr>
          <w:rFonts w:ascii="Calibri" w:hAnsi="Calibri" w:eastAsia="微软雅黑"/>
          <w:i w:val="0"/>
        </w:rPr>
        <w:t>6.1 One-sentence positioning</w:t>
      </w:r>
      <w:r>
        <w:tab/>
      </w:r>
      <w:r>
        <w:fldChar w:fldCharType="begin"/>
      </w:r>
      <w:r>
        <w:instrText xml:space="preserve"> PAGEREF _Toc22188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3F35460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_Toc19475 </w:instrText>
      </w:r>
      <w:r>
        <w:fldChar w:fldCharType="separate"/>
      </w:r>
      <w:r>
        <w:rPr>
          <w:rFonts w:ascii="Calibri" w:hAnsi="Calibri" w:eastAsia="微软雅黑"/>
          <w:i w:val="0"/>
        </w:rPr>
        <w:t>6.2 Evidence chain</w:t>
      </w:r>
      <w:r>
        <w:tab/>
      </w:r>
      <w:r>
        <w:fldChar w:fldCharType="begin"/>
      </w:r>
      <w:r>
        <w:instrText xml:space="preserve"> PAGEREF _Toc19475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3C26E14C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_Toc30184 </w:instrText>
      </w:r>
      <w:r>
        <w:fldChar w:fldCharType="separate"/>
      </w:r>
      <w:r>
        <w:rPr>
          <w:rFonts w:ascii="Calibri" w:hAnsi="Calibri" w:eastAsia="微软雅黑"/>
          <w:i w:val="0"/>
        </w:rPr>
        <w:t>6.3 Quantified evidence allowed in the CV</w:t>
      </w:r>
      <w:r>
        <w:tab/>
      </w:r>
      <w:r>
        <w:fldChar w:fldCharType="begin"/>
      </w:r>
      <w:r>
        <w:instrText xml:space="preserve"> PAGEREF _Toc30184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731920A5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_Toc5890 </w:instrText>
      </w:r>
      <w:r>
        <w:fldChar w:fldCharType="separate"/>
      </w:r>
      <w:r>
        <w:rPr>
          <w:rFonts w:ascii="Calibri" w:hAnsi="Calibri" w:eastAsia="微软雅黑"/>
          <w:i w:val="0"/>
        </w:rPr>
        <w:t>6.4 Evidence that must remain bounded</w:t>
      </w:r>
      <w:r>
        <w:tab/>
      </w:r>
      <w:r>
        <w:fldChar w:fldCharType="begin"/>
      </w:r>
      <w:r>
        <w:instrText xml:space="preserve"> PAGEREF _Toc5890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30A81BF7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_Toc25045 </w:instrText>
      </w:r>
      <w:r>
        <w:fldChar w:fldCharType="separate"/>
      </w:r>
      <w:r>
        <w:rPr>
          <w:rFonts w:ascii="Calibri" w:hAnsi="Calibri" w:eastAsia="微软雅黑"/>
          <w:i w:val="0"/>
        </w:rPr>
        <w:t>7. Proposed technical interview architecture</w:t>
      </w:r>
      <w:r>
        <w:tab/>
      </w:r>
      <w:r>
        <w:fldChar w:fldCharType="begin"/>
      </w:r>
      <w:r>
        <w:instrText xml:space="preserve"> PAGEREF _Toc25045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0E2F2C9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_Toc6436 </w:instrText>
      </w:r>
      <w:r>
        <w:fldChar w:fldCharType="separate"/>
      </w:r>
      <w:r>
        <w:rPr>
          <w:rFonts w:ascii="Calibri" w:hAnsi="Calibri" w:eastAsia="微软雅黑"/>
          <w:i w:val="0"/>
        </w:rPr>
        <w:t>7.1 Canonical trace identity</w:t>
      </w:r>
      <w:r>
        <w:tab/>
      </w:r>
      <w:r>
        <w:fldChar w:fldCharType="begin"/>
      </w:r>
      <w:r>
        <w:instrText xml:space="preserve"> PAGEREF _Toc6436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4D7F98D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_Toc1359 </w:instrText>
      </w:r>
      <w:r>
        <w:fldChar w:fldCharType="separate"/>
      </w:r>
      <w:r>
        <w:rPr>
          <w:rFonts w:ascii="Calibri" w:hAnsi="Calibri" w:eastAsia="微软雅黑"/>
          <w:i w:val="0"/>
        </w:rPr>
        <w:t>7.2 Event flow</w:t>
      </w:r>
      <w:r>
        <w:tab/>
      </w:r>
      <w:r>
        <w:fldChar w:fldCharType="begin"/>
      </w:r>
      <w:r>
        <w:instrText xml:space="preserve"> PAGEREF _Toc1359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76C2D2F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_Toc15924 </w:instrText>
      </w:r>
      <w:r>
        <w:fldChar w:fldCharType="separate"/>
      </w:r>
      <w:r>
        <w:rPr>
          <w:rFonts w:ascii="Calibri" w:hAnsi="Calibri" w:eastAsia="微软雅黑"/>
          <w:i w:val="0"/>
        </w:rPr>
        <w:t>7.3 Evaluation design</w:t>
      </w:r>
      <w:r>
        <w:tab/>
      </w:r>
      <w:r>
        <w:fldChar w:fldCharType="begin"/>
      </w:r>
      <w:r>
        <w:instrText xml:space="preserve"> PAGEREF _Toc15924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ECFD8DF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_Toc16457 </w:instrText>
      </w:r>
      <w:r>
        <w:fldChar w:fldCharType="separate"/>
      </w:r>
      <w:r>
        <w:rPr>
          <w:rFonts w:ascii="Calibri" w:hAnsi="Calibri" w:eastAsia="微软雅黑"/>
          <w:i w:val="0"/>
        </w:rPr>
        <w:t>7.4 Failure model</w:t>
      </w:r>
      <w:r>
        <w:tab/>
      </w:r>
      <w:r>
        <w:fldChar w:fldCharType="begin"/>
      </w:r>
      <w:r>
        <w:instrText xml:space="preserve"> PAGEREF _Toc16457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7F67A565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_Toc1265 </w:instrText>
      </w:r>
      <w:r>
        <w:fldChar w:fldCharType="separate"/>
      </w:r>
      <w:r>
        <w:rPr>
          <w:rFonts w:ascii="Calibri" w:hAnsi="Calibri" w:eastAsia="微软雅黑"/>
          <w:i w:val="0"/>
        </w:rPr>
        <w:t>8. Cross-border FX quant path</w:t>
      </w:r>
      <w:r>
        <w:tab/>
      </w:r>
      <w:r>
        <w:fldChar w:fldCharType="begin"/>
      </w:r>
      <w:r>
        <w:instrText xml:space="preserve"> PAGEREF _Toc1265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226135BD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_Toc8880 </w:instrText>
      </w:r>
      <w:r>
        <w:fldChar w:fldCharType="separate"/>
      </w:r>
      <w:r>
        <w:rPr>
          <w:rFonts w:ascii="Calibri" w:hAnsi="Calibri" w:eastAsia="微软雅黑"/>
          <w:i w:val="0"/>
        </w:rPr>
        <w:t>9. Application campaign</w:t>
      </w:r>
      <w:r>
        <w:tab/>
      </w:r>
      <w:r>
        <w:fldChar w:fldCharType="begin"/>
      </w:r>
      <w:r>
        <w:instrText xml:space="preserve"> PAGEREF _Toc8880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2DF8B76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_Toc24829 </w:instrText>
      </w:r>
      <w:r>
        <w:fldChar w:fldCharType="separate"/>
      </w:r>
      <w:r>
        <w:rPr>
          <w:rFonts w:ascii="Calibri" w:hAnsi="Calibri" w:eastAsia="微软雅黑"/>
          <w:i w:val="0"/>
        </w:rPr>
        <w:t>9.1 Asset contract</w:t>
      </w:r>
      <w:r>
        <w:tab/>
      </w:r>
      <w:r>
        <w:fldChar w:fldCharType="begin"/>
      </w:r>
      <w:r>
        <w:instrText xml:space="preserve"> PAGEREF _Toc24829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5004E467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_Toc3942 </w:instrText>
      </w:r>
      <w:r>
        <w:fldChar w:fldCharType="separate"/>
      </w:r>
      <w:r>
        <w:rPr>
          <w:rFonts w:ascii="Calibri" w:hAnsi="Calibri" w:eastAsia="微软雅黑"/>
          <w:i w:val="0"/>
        </w:rPr>
        <w:t>9.2 Human Gate checklist</w:t>
      </w:r>
      <w:r>
        <w:tab/>
      </w:r>
      <w:r>
        <w:fldChar w:fldCharType="begin"/>
      </w:r>
      <w:r>
        <w:instrText xml:space="preserve"> PAGEREF _Toc3942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329D4F69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_Toc30833 </w:instrText>
      </w:r>
      <w:r>
        <w:fldChar w:fldCharType="separate"/>
      </w:r>
      <w:r>
        <w:rPr>
          <w:rFonts w:ascii="Calibri" w:hAnsi="Calibri" w:eastAsia="微软雅黑"/>
          <w:i w:val="0"/>
        </w:rPr>
        <w:t>9.3 Immediate execution order</w:t>
      </w:r>
      <w:r>
        <w:tab/>
      </w:r>
      <w:r>
        <w:fldChar w:fldCharType="begin"/>
      </w:r>
      <w:r>
        <w:instrText xml:space="preserve"> PAGEREF _Toc30833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7C0A9B17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_Toc4080 </w:instrText>
      </w:r>
      <w:r>
        <w:fldChar w:fldCharType="separate"/>
      </w:r>
      <w:r>
        <w:rPr>
          <w:rFonts w:ascii="Calibri" w:hAnsi="Calibri" w:eastAsia="微软雅黑"/>
          <w:i w:val="0"/>
        </w:rPr>
        <w:t>10. Final verdict</w:t>
      </w:r>
      <w:r>
        <w:tab/>
      </w:r>
      <w:r>
        <w:fldChar w:fldCharType="begin"/>
      </w:r>
      <w:r>
        <w:instrText xml:space="preserve"> PAGEREF _Toc4080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50884ABE">
      <w:pPr>
        <w:pStyle w:val="30"/>
        <w:tabs>
          <w:tab w:val="right" w:leader="dot" w:pos="9360"/>
        </w:tabs>
      </w:pPr>
      <w:r>
        <w:fldChar w:fldCharType="begin"/>
      </w:r>
      <w:r>
        <w:instrText xml:space="preserve"> HYPERLINK \l _Toc831 </w:instrText>
      </w:r>
      <w:r>
        <w:fldChar w:fldCharType="separate"/>
      </w:r>
      <w:r>
        <w:rPr>
          <w:rFonts w:ascii="Calibri" w:hAnsi="Calibri" w:eastAsia="微软雅黑"/>
          <w:i w:val="0"/>
        </w:rPr>
        <w:t>Sources</w:t>
      </w:r>
      <w:r>
        <w:tab/>
      </w:r>
      <w:r>
        <w:fldChar w:fldCharType="begin"/>
      </w:r>
      <w:r>
        <w:instrText xml:space="preserve"> PAGEREF _Toc831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74B02BF1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_Toc9945 </w:instrText>
      </w:r>
      <w:r>
        <w:fldChar w:fldCharType="separate"/>
      </w:r>
      <w:r>
        <w:rPr>
          <w:rFonts w:ascii="Calibri" w:hAnsi="Calibri" w:eastAsia="微软雅黑"/>
          <w:i w:val="0"/>
        </w:rPr>
        <w:t>Official hiring</w:t>
      </w:r>
      <w:r>
        <w:tab/>
      </w:r>
      <w:r>
        <w:fldChar w:fldCharType="begin"/>
      </w:r>
      <w:r>
        <w:instrText xml:space="preserve"> PAGEREF _Toc9945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4E698E8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_Toc681 </w:instrText>
      </w:r>
      <w:r>
        <w:fldChar w:fldCharType="separate"/>
      </w:r>
      <w:r>
        <w:rPr>
          <w:rFonts w:ascii="Calibri" w:hAnsi="Calibri" w:eastAsia="微软雅黑"/>
          <w:i w:val="0"/>
        </w:rPr>
        <w:t>Official/public technical context</w:t>
      </w:r>
      <w:r>
        <w:tab/>
      </w:r>
      <w:r>
        <w:fldChar w:fldCharType="begin"/>
      </w:r>
      <w:r>
        <w:instrText xml:space="preserve"> PAGEREF _Toc681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7EC48346">
      <w:pPr>
        <w:pStyle w:val="24"/>
        <w:tabs>
          <w:tab w:val="right" w:leader="dot" w:pos="9360"/>
        </w:tabs>
      </w:pPr>
      <w:r>
        <w:fldChar w:fldCharType="begin"/>
      </w:r>
      <w:r>
        <w:instrText xml:space="preserve"> HYPERLINK \l _Toc7632 </w:instrText>
      </w:r>
      <w:r>
        <w:fldChar w:fldCharType="separate"/>
      </w:r>
      <w:r>
        <w:rPr>
          <w:rFonts w:ascii="Calibri" w:hAnsi="Calibri" w:eastAsia="微软雅黑"/>
          <w:i w:val="0"/>
        </w:rPr>
        <w:t>Candidate public evidence</w:t>
      </w:r>
      <w:r>
        <w:tab/>
      </w:r>
      <w:r>
        <w:fldChar w:fldCharType="begin"/>
      </w:r>
      <w:r>
        <w:instrText xml:space="preserve"> PAGEREF _Toc7632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559BFBE4">
      <w:pPr>
        <w:spacing w:after="240"/>
      </w:pPr>
      <w:r>
        <w:fldChar w:fldCharType="end"/>
      </w:r>
    </w:p>
    <w:p w14:paraId="1AE2554B">
      <w:pPr>
        <w:spacing w:before="280"/>
      </w:pPr>
      <w:r>
        <w:rPr>
          <w:rFonts w:ascii="Calibri" w:hAnsi="Calibri" w:eastAsia="微软雅黑"/>
          <w:b/>
          <w:color w:val="2E74B5"/>
          <w:sz w:val="20"/>
        </w:rPr>
        <w:t>Reading guide</w:t>
      </w:r>
    </w:p>
    <w:p w14:paraId="383711B4">
      <w:r>
        <w:rPr>
          <w:rFonts w:ascii="Calibri" w:hAnsi="Calibri" w:eastAsia="微软雅黑"/>
          <w:color w:val="52677D"/>
          <w:sz w:val="19"/>
        </w:rPr>
        <w:t>Sections 1-10 move from public evidence to role decomposition, candidate fit, system design, and a receipt-based application gate.</w:t>
      </w:r>
    </w:p>
    <w:p w14:paraId="5FAE40B6">
      <w:r>
        <w:br w:type="page"/>
      </w:r>
    </w:p>
    <w:p w14:paraId="63D0BC57">
      <w:r>
        <w:rPr>
          <w:rFonts w:ascii="Calibri" w:hAnsi="Calibri" w:eastAsia="微软雅黑"/>
          <w:b/>
          <w:i w:val="0"/>
        </w:rPr>
        <w:t>Report ID:</w:t>
      </w:r>
      <w:r>
        <w:rPr>
          <w:rFonts w:ascii="Calibri" w:hAnsi="Calibri" w:eastAsia="微软雅黑"/>
          <w:b w:val="0"/>
          <w:i w:val="0"/>
        </w:rPr>
        <w:t xml:space="preserve"> PCT-TENCENT-AI-20260901-001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Snapshot:</w:t>
      </w:r>
      <w:r>
        <w:rPr>
          <w:rFonts w:ascii="Calibri" w:hAnsi="Calibri" w:eastAsia="微软雅黑"/>
          <w:b w:val="0"/>
          <w:i w:val="0"/>
        </w:rPr>
        <w:t xml:space="preserve"> 2026-09-01, Asia/Shanghai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Primary role:</w:t>
      </w:r>
      <w:r>
        <w:rPr>
          <w:rFonts w:ascii="Calibri" w:hAnsi="Calibri" w:eastAsia="微软雅黑"/>
          <w:b w:val="0"/>
          <w:i w:val="0"/>
        </w:rPr>
        <w:t xml:space="preserve"> 混元AI Agent Harness Engineer（北京/深圳））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Primary organization surface:</w:t>
      </w:r>
      <w:r>
        <w:rPr>
          <w:rFonts w:ascii="Calibri" w:hAnsi="Calibri" w:eastAsia="微软雅黑"/>
          <w:b w:val="0"/>
          <w:i w:val="0"/>
        </w:rPr>
        <w:t xml:space="preserve"> TEG / 混元-工程平台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Campaign North Star:</w:t>
      </w:r>
      <w:r>
        <w:rPr>
          <w:rFonts w:ascii="Calibri" w:hAnsi="Calibri" w:eastAsia="微软雅黑"/>
          <w:b w:val="0"/>
          <w:i w:val="0"/>
        </w:rPr>
        <w:t xml:space="preserve"> </w:t>
      </w:r>
      <w:r>
        <w:rPr>
          <w:rFonts w:ascii="Calibri" w:hAnsi="Calibri" w:eastAsia="微软雅黑"/>
          <w:b/>
          <w:i w:val="0"/>
        </w:rPr>
        <w:t>Build and Evaluate AI-Native Agent Systems End-to-End.</w:t>
      </w:r>
    </w:p>
    <w:p w14:paraId="71DBE9E6">
      <w:pPr>
        <w:pBdr>
          <w:bottom w:val="single" w:color="B7C5D1" w:sz="4" w:space="2"/>
        </w:pBdr>
      </w:pPr>
    </w:p>
    <w:p w14:paraId="747AFB8F">
      <w:pPr>
        <w:pStyle w:val="4"/>
      </w:pPr>
      <w:bookmarkStart w:id="1" w:name="_Toc29165"/>
      <w:r>
        <w:rPr>
          <w:rFonts w:ascii="Calibri" w:hAnsi="Calibri" w:eastAsia="微软雅黑"/>
          <w:b w:val="0"/>
          <w:i w:val="0"/>
        </w:rPr>
        <w:t>1. Executive decision</w:t>
      </w:r>
      <w:bookmarkEnd w:id="1"/>
    </w:p>
    <w:p w14:paraId="02D53C38">
      <w:r>
        <w:rPr>
          <w:rFonts w:ascii="Calibri" w:hAnsi="Calibri" w:eastAsia="微软雅黑"/>
          <w:b/>
          <w:i w:val="0"/>
        </w:rPr>
        <w:t>Decision: APPLY NOW after final Human Gate.</w:t>
      </w:r>
    </w:p>
    <w:p w14:paraId="57DE383F">
      <w:r>
        <w:rPr>
          <w:rFonts w:ascii="Calibri" w:hAnsi="Calibri" w:eastAsia="微软雅黑"/>
          <w:b w:val="0"/>
          <w:i w:val="0"/>
        </w:rPr>
        <w:t>The Harness role is the strongest current Tencent fit because its public JD asks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for exactly the chain Pengyi has been building toward:</w:t>
      </w:r>
    </w:p>
    <w:p w14:paraId="3055051E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Agent execution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trace and observability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evaluation pipeline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A/B testing and regression detection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debugging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labeling / SBS / data platform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research-to-engineering transfer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AI-native daily workflow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0DB77152">
      <w:r>
        <w:rPr>
          <w:rFonts w:ascii="Calibri" w:hAnsi="Calibri" w:eastAsia="微软雅黑"/>
          <w:b w:val="0"/>
          <w:i w:val="0"/>
        </w:rPr>
        <w:t>The match is not perfect. Large-scale distributed observability, production SBS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platform ownership, and a strict two-year relevant-work screen are material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risks. The correct strategy is therefore not to inflate experience; it is to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lead with unusually direct project and open-source evidence, a bounded system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design, and explicit gap awareness.</w:t>
      </w:r>
    </w:p>
    <w:p w14:paraId="50F08CB2">
      <w:r>
        <w:rPr>
          <w:rFonts w:ascii="Calibri" w:hAnsi="Calibri" w:eastAsia="微软雅黑"/>
          <w:b w:val="0"/>
          <w:i w:val="0"/>
        </w:rPr>
        <w:t>The secondary opportunity map contains six P1 roles and two P2 roles. The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cross-border FX quant role is strategically interesting because it combines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banking, quant analysis, data-system ownership, and AI-assisted research, but its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three-year gate and live FX evidence gap make it a conversation-first target.</w:t>
      </w:r>
    </w:p>
    <w:p w14:paraId="614ECD42">
      <w:pPr>
        <w:pBdr>
          <w:bottom w:val="single" w:color="B7C5D1" w:sz="4" w:space="2"/>
        </w:pBdr>
      </w:pPr>
    </w:p>
    <w:p w14:paraId="2B742B3F">
      <w:pPr>
        <w:pStyle w:val="4"/>
      </w:pPr>
      <w:bookmarkStart w:id="2" w:name="_Toc12860"/>
      <w:r>
        <w:rPr>
          <w:rFonts w:ascii="Calibri" w:hAnsi="Calibri" w:eastAsia="微软雅黑"/>
          <w:b w:val="0"/>
          <w:i w:val="0"/>
        </w:rPr>
        <w:t>2. Method and evidence discipline</w:t>
      </w:r>
      <w:bookmarkEnd w:id="2"/>
    </w:p>
    <w:p w14:paraId="54C67944">
      <w:pPr>
        <w:pStyle w:val="5"/>
      </w:pPr>
      <w:bookmarkStart w:id="3" w:name="_Toc23382"/>
      <w:r>
        <w:rPr>
          <w:rFonts w:ascii="Calibri" w:hAnsi="Calibri" w:eastAsia="微软雅黑"/>
          <w:b w:val="0"/>
          <w:i w:val="0"/>
        </w:rPr>
        <w:t>2.1 Frozen public surface</w:t>
      </w:r>
      <w:bookmarkEnd w:id="3"/>
    </w:p>
    <w:p w14:paraId="668AAAB3">
      <w:r>
        <w:rPr>
          <w:rFonts w:ascii="Calibri" w:hAnsi="Calibri" w:eastAsia="微软雅黑"/>
          <w:b w:val="0"/>
          <w:i w:val="0"/>
        </w:rPr>
        <w:t>The collector queried ten official Tencent Careers keyword surfaces. Counts are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overlapping search results, not additive hiring totals:</w:t>
      </w:r>
    </w:p>
    <w:p w14:paraId="537CFDB0">
      <w:pPr>
        <w:jc w:val="center"/>
      </w:pPr>
      <w:r>
        <w:drawing>
          <wp:inline distT="0" distB="0" distL="114300" distR="114300">
            <wp:extent cx="5715000" cy="2609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0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FA3A">
      <w:pPr>
        <w:spacing w:after="160"/>
        <w:jc w:val="center"/>
      </w:pPr>
      <w:r>
        <w:rPr>
          <w:rFonts w:ascii="Calibri" w:hAnsi="Calibri" w:eastAsia="微软雅黑"/>
          <w:i/>
          <w:color w:val="52677D"/>
          <w:sz w:val="17"/>
        </w:rPr>
        <w:t>Figure 1. Manually prioritized role surface. Counts are not headcount or hiring probability.</w:t>
      </w:r>
    </w:p>
    <w:tbl>
      <w:tblPr>
        <w:tblStyle w:val="36"/>
        <w:tblW w:w="9360" w:type="dxa"/>
        <w:tblInd w:w="120" w:type="dxa"/>
        <w:tblBorders>
          <w:top w:val="single" w:color="C8D2DC" w:sz="6" w:space="0"/>
          <w:left w:val="single" w:color="C8D2DC" w:sz="6" w:space="0"/>
          <w:bottom w:val="single" w:color="C8D2DC" w:sz="6" w:space="0"/>
          <w:right w:val="single" w:color="C8D2DC" w:sz="6" w:space="0"/>
          <w:insideH w:val="single" w:color="C8D2DC" w:sz="6" w:space="0"/>
          <w:insideV w:val="single" w:color="C8D2DC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1D8DA117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70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85AF3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Keyword</w:t>
            </w:r>
          </w:p>
        </w:tc>
        <w:tc>
          <w:tcPr>
            <w:tcW w:w="666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44AA0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Official result count at capture</w:t>
            </w:r>
          </w:p>
        </w:tc>
      </w:tr>
      <w:tr w14:paraId="61984EF8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CC01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Agent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07C2F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199</w:t>
            </w:r>
          </w:p>
        </w:tc>
      </w:tr>
      <w:tr w14:paraId="7FDBAD81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B66C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混元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8C1DF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78</w:t>
            </w:r>
          </w:p>
        </w:tc>
      </w:tr>
      <w:tr w14:paraId="4C72F18D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38E28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大模型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0354E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364</w:t>
            </w:r>
          </w:p>
        </w:tc>
      </w:tr>
      <w:tr w14:paraId="0C9926DD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B982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评测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69F7A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70</w:t>
            </w:r>
          </w:p>
        </w:tc>
      </w:tr>
      <w:tr w14:paraId="593579B0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082F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推理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94A3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117</w:t>
            </w:r>
          </w:p>
        </w:tc>
      </w:tr>
      <w:tr w14:paraId="747D28DA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46089F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AI Infra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52ADF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666</w:t>
            </w:r>
          </w:p>
        </w:tc>
      </w:tr>
      <w:tr w14:paraId="4537AC3F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7387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研发效能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5410B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8</w:t>
            </w:r>
          </w:p>
        </w:tc>
      </w:tr>
      <w:tr w14:paraId="09CC053B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38B5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量化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6D50D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38</w:t>
            </w:r>
          </w:p>
        </w:tc>
      </w:tr>
      <w:tr w14:paraId="6D203BAA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65816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外汇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C9DAA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3</w:t>
            </w:r>
          </w:p>
        </w:tc>
      </w:tr>
      <w:tr w14:paraId="2CEADA67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2C96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金融科技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A772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23</w:t>
            </w:r>
          </w:p>
        </w:tc>
      </w:tr>
    </w:tbl>
    <w:p w14:paraId="553E21A7">
      <w:pPr>
        <w:spacing w:after="20"/>
      </w:pPr>
    </w:p>
    <w:p w14:paraId="67EE4E86">
      <w:r>
        <w:rPr>
          <w:rFonts w:ascii="Calibri" w:hAnsi="Calibri" w:eastAsia="微软雅黑"/>
          <w:b w:val="0"/>
          <w:i w:val="0"/>
        </w:rPr>
        <w:t>The union contained 862 unique public records. A deliberately broad signal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classifier marked 575 China-location records for review; </w:t>
      </w:r>
      <w:r>
        <w:rPr>
          <w:rFonts w:ascii="Calibri" w:hAnsi="Calibri" w:eastAsia="微软雅黑"/>
          <w:b/>
          <w:i w:val="0"/>
        </w:rPr>
        <w:t>575 is a discovery</w:t>
      </w:r>
      <w:r>
        <w:rPr>
          <w:rFonts w:ascii="Calibri" w:hAnsi="Calibri" w:eastAsia="微软雅黑"/>
          <w:b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universe, not a candidate-fit count</w:t>
      </w:r>
      <w:r>
        <w:rPr>
          <w:rFonts w:ascii="Calibri" w:hAnsi="Calibri" w:eastAsia="微软雅黑"/>
          <w:b w:val="0"/>
          <w:i w:val="0"/>
        </w:rPr>
        <w:t>. Manual prioritization reduced this to nine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evidence-relevant roles.</w:t>
      </w:r>
    </w:p>
    <w:p w14:paraId="64C36F89">
      <w:pPr>
        <w:pStyle w:val="5"/>
      </w:pPr>
      <w:bookmarkStart w:id="4" w:name="_Toc8164"/>
      <w:r>
        <w:rPr>
          <w:rFonts w:ascii="Calibri" w:hAnsi="Calibri" w:eastAsia="微软雅黑"/>
          <w:b w:val="0"/>
          <w:i w:val="0"/>
        </w:rPr>
        <w:t>2.2 Three evidence classes</w:t>
      </w:r>
      <w:bookmarkEnd w:id="4"/>
    </w:p>
    <w:p w14:paraId="6BC6C986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FACT:</w:t>
      </w:r>
      <w:r>
        <w:rPr>
          <w:rFonts w:ascii="Calibri" w:hAnsi="Calibri" w:eastAsia="微软雅黑"/>
          <w:b w:val="0"/>
          <w:i w:val="0"/>
        </w:rPr>
        <w:t xml:space="preserve"> official role metadata, official Tencent publications, public code,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public merged PRs, and repository test receipts.</w:t>
      </w:r>
    </w:p>
    <w:p w14:paraId="29A60874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INTERPRETATION:</w:t>
      </w:r>
      <w:r>
        <w:rPr>
          <w:rFonts w:ascii="Calibri" w:hAnsi="Calibri" w:eastAsia="微软雅黑"/>
          <w:b w:val="0"/>
          <w:i w:val="0"/>
        </w:rPr>
        <w:t xml:space="preserve"> what the role cluster suggests about technical demand or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how candidate evidence maps to a JD.</w:t>
      </w:r>
    </w:p>
    <w:p w14:paraId="0192B55F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HYPOTHESIS:</w:t>
      </w:r>
      <w:r>
        <w:rPr>
          <w:rFonts w:ascii="Calibri" w:hAnsi="Calibri" w:eastAsia="微软雅黑"/>
          <w:b w:val="0"/>
          <w:i w:val="0"/>
        </w:rPr>
        <w:t xml:space="preserve"> internal topology, hiring urgency, reporting lines, and team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strategy. Hypotheses are not presented as facts.</w:t>
      </w:r>
    </w:p>
    <w:p w14:paraId="0770CEBF">
      <w:r>
        <w:rPr>
          <w:rFonts w:ascii="Calibri" w:hAnsi="Calibri" w:eastAsia="微软雅黑"/>
          <w:b w:val="0"/>
          <w:i w:val="0"/>
        </w:rPr>
        <w:t>Full JDs are not republished in the public dataset. Each role receipt keeps the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official URL, metadata, item counts, capability signals, and SHA-256 hashes.</w:t>
      </w:r>
    </w:p>
    <w:p w14:paraId="472EE649">
      <w:pPr>
        <w:pBdr>
          <w:bottom w:val="single" w:color="B7C5D1" w:sz="4" w:space="2"/>
        </w:pBdr>
      </w:pPr>
    </w:p>
    <w:p w14:paraId="77A506DD">
      <w:pPr>
        <w:pStyle w:val="4"/>
      </w:pPr>
      <w:bookmarkStart w:id="5" w:name="_Toc22742"/>
      <w:r>
        <w:rPr>
          <w:rFonts w:ascii="Calibri" w:hAnsi="Calibri" w:eastAsia="微软雅黑"/>
          <w:b w:val="0"/>
          <w:i w:val="0"/>
        </w:rPr>
        <w:t>3. Tencent AI operating context</w:t>
      </w:r>
      <w:bookmarkEnd w:id="5"/>
    </w:p>
    <w:p w14:paraId="3B5AB8A1">
      <w:pPr>
        <w:pStyle w:val="5"/>
      </w:pPr>
      <w:bookmarkStart w:id="6" w:name="_Toc1948"/>
      <w:r>
        <w:rPr>
          <w:rFonts w:ascii="Calibri" w:hAnsi="Calibri" w:eastAsia="微软雅黑"/>
          <w:b w:val="0"/>
          <w:i w:val="0"/>
        </w:rPr>
        <w:t>3.1 Public company signal</w:t>
      </w:r>
      <w:bookmarkEnd w:id="6"/>
    </w:p>
    <w:p w14:paraId="48D1C05C">
      <w:r>
        <w:rPr>
          <w:rFonts w:ascii="Calibri" w:hAnsi="Calibri" w:eastAsia="微软雅黑"/>
          <w:b w:val="0"/>
          <w:i w:val="0"/>
        </w:rPr>
        <w:t>Tencent's July 2026 Hy3 release says the company rebuilt Hunyuan infrastructure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from late January 2026 and completed a loop from foundation reconstruction to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product feedback and model improvement in under six months. It also names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integration into products such as WorkBuddy/CodeBuddy, Yuanbao, Marvis, and ima.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That is consistent with a role surface emphasizing execution reliability,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evaluation, and product feedback rather than model demos alone.</w:t>
      </w:r>
    </w:p>
    <w:p w14:paraId="5DCFA33B">
      <w:r>
        <w:rPr>
          <w:rFonts w:ascii="Calibri" w:hAnsi="Calibri" w:eastAsia="微软雅黑"/>
          <w:b w:val="0"/>
          <w:i w:val="0"/>
        </w:rPr>
        <w:t xml:space="preserve">This does </w:t>
      </w:r>
      <w:r>
        <w:rPr>
          <w:rFonts w:ascii="Calibri" w:hAnsi="Calibri" w:eastAsia="微软雅黑"/>
          <w:b/>
          <w:i w:val="0"/>
        </w:rPr>
        <w:t>not</w:t>
      </w:r>
      <w:r>
        <w:rPr>
          <w:rFonts w:ascii="Calibri" w:hAnsi="Calibri" w:eastAsia="微软雅黑"/>
          <w:b w:val="0"/>
          <w:i w:val="0"/>
        </w:rPr>
        <w:t xml:space="preserve"> prove the Harness role owns those products. It establishes only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the wider public context: Agent capability is being pushed through models,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runtime behavior, products, and developer surfaces.</w:t>
      </w:r>
    </w:p>
    <w:p w14:paraId="303BE8DB">
      <w:pPr>
        <w:pStyle w:val="5"/>
      </w:pPr>
      <w:bookmarkStart w:id="7" w:name="_Toc26155"/>
      <w:r>
        <w:rPr>
          <w:rFonts w:ascii="Calibri" w:hAnsi="Calibri" w:eastAsia="微软雅黑"/>
          <w:b w:val="0"/>
          <w:i w:val="0"/>
        </w:rPr>
        <w:t>3.2 Technical architecture inferred from public roles</w:t>
      </w:r>
      <w:bookmarkEnd w:id="7"/>
    </w:p>
    <w:p w14:paraId="6CB2457F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Models / post-training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Agent RL framework ---- data and environment platform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+------ secure sandbox ---+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Agent execution harness / runtime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trace -&gt; observability -&gt; debugging -&gt; replay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eval pipeline -&gt; SBS -&gt; A/B -&gt; regression gates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 xml:space="preserve"> |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research feedback &lt;-&gt; product and developer workflows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0C9C1E29">
      <w:r>
        <w:rPr>
          <w:rFonts w:ascii="Calibri" w:hAnsi="Calibri" w:eastAsia="微软雅黑"/>
          <w:b/>
          <w:i w:val="0"/>
        </w:rPr>
        <w:t>Inference:</w:t>
      </w:r>
      <w:r>
        <w:rPr>
          <w:rFonts w:ascii="Calibri" w:hAnsi="Calibri" w:eastAsia="微软雅黑"/>
          <w:b w:val="0"/>
          <w:i w:val="0"/>
        </w:rPr>
        <w:t xml:space="preserve"> The cluster resembles a complete Agent engineering platform, not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a single orchestration library. Confidence is medium because the components are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visible in public JDs, but internal ownership and integration are unknown.</w:t>
      </w:r>
    </w:p>
    <w:p w14:paraId="6A2ABDA7">
      <w:pPr>
        <w:pStyle w:val="5"/>
      </w:pPr>
      <w:bookmarkStart w:id="8" w:name="_Toc25288"/>
      <w:r>
        <w:rPr>
          <w:rFonts w:ascii="Calibri" w:hAnsi="Calibri" w:eastAsia="微软雅黑"/>
          <w:b w:val="0"/>
          <w:i w:val="0"/>
        </w:rPr>
        <w:t>3.3 Open-source and cloud-adjacent reference points</w:t>
      </w:r>
      <w:bookmarkEnd w:id="8"/>
    </w:p>
    <w:p w14:paraId="1122420C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Tencent Cloud Agent Runtime publicly describes runtime, secure sandbox, tool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infrastructure, gateway, memory/session, observability, governance, and security.</w:t>
      </w:r>
    </w:p>
    <w:p w14:paraId="3A8D8161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Tencent-Hunyuan C3-Benchmark evaluates tool dependencies, hidden information,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dynamic decision paths, and multi-turn Agent robustness with reproducible artifacts.</w:t>
      </w:r>
    </w:p>
    <w:p w14:paraId="16ACEAFE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Tencent projects such as CUARewardBench and AI-Infra-Guard show adjacent public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interest in Agent reward evaluation and security testing.</w:t>
      </w:r>
    </w:p>
    <w:p w14:paraId="71983064">
      <w:r>
        <w:rPr>
          <w:rFonts w:ascii="Calibri" w:hAnsi="Calibri" w:eastAsia="微软雅黑"/>
          <w:b w:val="0"/>
          <w:i w:val="0"/>
        </w:rPr>
        <w:t>These repositories are useful technical references. They are not proof that the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P0 TEG team owns or directly uses them.</w:t>
      </w:r>
    </w:p>
    <w:p w14:paraId="1527C357">
      <w:pPr>
        <w:pBdr>
          <w:bottom w:val="single" w:color="B7C5D1" w:sz="4" w:space="2"/>
        </w:pBdr>
      </w:pPr>
    </w:p>
    <w:p w14:paraId="72D55860">
      <w:pPr>
        <w:pStyle w:val="4"/>
      </w:pPr>
      <w:bookmarkStart w:id="9" w:name="_Toc22848"/>
      <w:r>
        <w:rPr>
          <w:rFonts w:ascii="Calibri" w:hAnsi="Calibri" w:eastAsia="微软雅黑"/>
          <w:b w:val="0"/>
          <w:i w:val="0"/>
        </w:rPr>
        <w:t>4. Priority opportunity map</w:t>
      </w:r>
      <w:bookmarkEnd w:id="9"/>
    </w:p>
    <w:tbl>
      <w:tblPr>
        <w:tblStyle w:val="36"/>
        <w:tblW w:w="9360" w:type="dxa"/>
        <w:tblInd w:w="120" w:type="dxa"/>
        <w:tblBorders>
          <w:top w:val="single" w:color="C8D2DC" w:sz="6" w:space="0"/>
          <w:left w:val="single" w:color="C8D2DC" w:sz="6" w:space="0"/>
          <w:bottom w:val="single" w:color="C8D2DC" w:sz="6" w:space="0"/>
          <w:right w:val="single" w:color="C8D2DC" w:sz="6" w:space="0"/>
          <w:insideH w:val="single" w:color="C8D2DC" w:sz="6" w:space="0"/>
          <w:insideV w:val="single" w:color="C8D2DC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850"/>
        <w:gridCol w:w="1050"/>
        <w:gridCol w:w="850"/>
        <w:gridCol w:w="4510"/>
      </w:tblGrid>
      <w:tr w14:paraId="50FB7A80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10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8339A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5"/>
              </w:rPr>
              <w:t>Priority</w:t>
            </w:r>
          </w:p>
        </w:tc>
        <w:tc>
          <w:tcPr>
            <w:tcW w:w="8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D2260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5"/>
              </w:rPr>
              <w:t>Role</w:t>
            </w:r>
          </w:p>
        </w:tc>
        <w:tc>
          <w:tcPr>
            <w:tcW w:w="10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AF58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5"/>
              </w:rPr>
              <w:t>Location / BG</w:t>
            </w:r>
          </w:p>
        </w:tc>
        <w:tc>
          <w:tcPr>
            <w:tcW w:w="8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FCD5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5"/>
              </w:rPr>
              <w:t>Gate</w:t>
            </w:r>
          </w:p>
        </w:tc>
        <w:tc>
          <w:tcPr>
            <w:tcW w:w="451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A3FB7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5"/>
              </w:rPr>
              <w:t>Decision</w:t>
            </w:r>
          </w:p>
        </w:tc>
      </w:tr>
      <w:tr w14:paraId="3C58F04C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19B2A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P0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E0EA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混元AI Agent Harness Engineer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91E1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Beijing/Shenzhen title; TEG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16D25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2+ years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07105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Apply first</w:t>
            </w:r>
          </w:p>
        </w:tc>
      </w:tr>
      <w:tr w14:paraId="1EFD756D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0E6B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8D444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混元Agent评测Infra工程师</w:t>
            </w:r>
          </w:p>
        </w:tc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2532A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Beijing/Shanghai/Shenzhen; TEG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5E7A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3+ years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195B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Adjacent application after P0 review</w:t>
            </w:r>
          </w:p>
        </w:tc>
      </w:tr>
      <w:tr w14:paraId="0EDC480B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4A7D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68784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混元评测Infra可观测性工程师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9CD6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Beijing/Shenzhen; TEG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67FE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3+ years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4663D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Stretch; prepare incident/trace defense</w:t>
            </w:r>
          </w:p>
        </w:tc>
      </w:tr>
      <w:tr w14:paraId="7E49C6D9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3DA95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34CA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Agent Infra高级研发工程师</w:t>
            </w:r>
          </w:p>
        </w:tc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CBE9D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Shenzhen; TEG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74A10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2+ years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230B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Strong Shenzhen adjacency</w:t>
            </w:r>
          </w:p>
        </w:tc>
      </w:tr>
      <w:tr w14:paraId="7C8E963A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7C7B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9102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混元Agent数据与环境平台工程师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52F6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Shenzhen/Beijing/Shanghai; TEG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F2FD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1+ years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B4D5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Strong data-contract adjacency</w:t>
            </w:r>
          </w:p>
        </w:tc>
      </w:tr>
      <w:tr w14:paraId="46C6C714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CC305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4D8F6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混元Agent强化学习框架工程师</w:t>
            </w:r>
          </w:p>
        </w:tc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77A69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Shenzhen/Beijing/Shanghai; TEG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616FC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1+ years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4A5D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Framework fit, RL ownership gap</w:t>
            </w:r>
          </w:p>
        </w:tc>
      </w:tr>
      <w:tr w14:paraId="6D16D10B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FF9F0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P2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29491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混元沙盒平台工程师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8D802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Beijing/Shenzhen/Shanghai; TEG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7957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1+ years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2C3B7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Deep virtualization gap</w:t>
            </w:r>
          </w:p>
        </w:tc>
      </w:tr>
      <w:tr w14:paraId="19D143F7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D57ED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P2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406B0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金融科技-Agent架构设计与推理性能优化工程师</w:t>
            </w:r>
          </w:p>
        </w:tc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7FADB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Shenzhen; CDG</w:t>
            </w:r>
          </w:p>
        </w:tc>
        <w:tc>
          <w:tcPr>
            <w:tcW w:w="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37DAF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5+ years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38B54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Strategic stretch</w:t>
            </w:r>
          </w:p>
        </w:tc>
      </w:tr>
      <w:tr w14:paraId="08767A47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2C47F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P1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8A542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跨境支付-外汇量化分析产品经理</w:t>
            </w:r>
          </w:p>
        </w:tc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2C133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Shenzhen; CDG</w:t>
            </w:r>
          </w:p>
        </w:tc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A2BC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3+ years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A12B8">
            <w:pPr>
              <w:spacing w:before="0" w:after="0" w:line="252" w:lineRule="auto"/>
              <w:jc w:val="center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5"/>
              </w:rPr>
              <w:t>Conversation-first quant path</w:t>
            </w:r>
          </w:p>
        </w:tc>
      </w:tr>
    </w:tbl>
    <w:p w14:paraId="69FFC666">
      <w:pPr>
        <w:spacing w:after="20"/>
      </w:pPr>
    </w:p>
    <w:p w14:paraId="60CF44ED">
      <w:r>
        <w:rPr>
          <w:rFonts w:ascii="Calibri" w:hAnsi="Calibri" w:eastAsia="微软雅黑"/>
          <w:b w:val="0"/>
          <w:i w:val="0"/>
        </w:rPr>
        <w:t>The role title/location mismatch on the P0 page is operationally important: the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title lists Beijing/Shenzhen while the detail API returns Beijing. Confirm the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actual Shenzhen option before submission or in the first recruiter exchange.</w:t>
      </w:r>
    </w:p>
    <w:p w14:paraId="1B415ACE">
      <w:pPr>
        <w:pBdr>
          <w:bottom w:val="single" w:color="B7C5D1" w:sz="4" w:space="2"/>
        </w:pBdr>
      </w:pPr>
    </w:p>
    <w:p w14:paraId="7611D820">
      <w:pPr>
        <w:pStyle w:val="4"/>
      </w:pPr>
      <w:bookmarkStart w:id="10" w:name="_Toc20833"/>
      <w:r>
        <w:rPr>
          <w:rFonts w:ascii="Calibri" w:hAnsi="Calibri" w:eastAsia="微软雅黑"/>
          <w:b w:val="0"/>
          <w:i w:val="0"/>
        </w:rPr>
        <w:t>5. P0 JD decomposition</w:t>
      </w:r>
      <w:bookmarkEnd w:id="10"/>
    </w:p>
    <w:p w14:paraId="59DA1EE2">
      <w:pPr>
        <w:pStyle w:val="5"/>
      </w:pPr>
      <w:bookmarkStart w:id="11" w:name="_Toc13589"/>
      <w:r>
        <w:rPr>
          <w:rFonts w:ascii="Calibri" w:hAnsi="Calibri" w:eastAsia="微软雅黑"/>
          <w:b w:val="0"/>
          <w:i w:val="0"/>
        </w:rPr>
        <w:t>5.1 Output contract</w:t>
      </w:r>
      <w:bookmarkEnd w:id="11"/>
    </w:p>
    <w:p w14:paraId="3A9360D9">
      <w:r>
        <w:rPr>
          <w:rFonts w:ascii="Calibri" w:hAnsi="Calibri" w:eastAsia="微软雅黑"/>
          <w:b w:val="0"/>
          <w:i w:val="0"/>
        </w:rPr>
        <w:t xml:space="preserve">The role is a </w:t>
      </w:r>
      <w:r>
        <w:rPr>
          <w:rFonts w:ascii="Calibri" w:hAnsi="Calibri" w:eastAsia="微软雅黑"/>
          <w:b/>
          <w:i w:val="0"/>
        </w:rPr>
        <w:t>Harness / Evaluation / Developer Infrastructure engineer</w:t>
      </w:r>
      <w:r>
        <w:rPr>
          <w:rFonts w:ascii="Calibri" w:hAnsi="Calibri" w:eastAsia="微软雅黑"/>
          <w:b w:val="0"/>
          <w:i w:val="0"/>
        </w:rPr>
        <w:t>, not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primarily a prompt engineer. Its expected outputs are likely:</w:t>
      </w:r>
    </w:p>
    <w:p w14:paraId="1898D637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 stable event and trace schema for Agent runs;</w:t>
      </w:r>
    </w:p>
    <w:p w14:paraId="6207954C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searchable run-level observability and failure triage;</w:t>
      </w:r>
    </w:p>
    <w:p w14:paraId="13B199C4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automatic evaluation and comparison pipelines;</w:t>
      </w:r>
    </w:p>
    <w:p w14:paraId="0E2B83E8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replay, regression detection, and release gates;</w:t>
      </w:r>
    </w:p>
    <w:p w14:paraId="5AF76192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debugging tools that connect symptoms to task/step/tool/model state;</w:t>
      </w:r>
    </w:p>
    <w:p w14:paraId="01B575EE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data and labeling infrastructure that feeds research and product iteration;</w:t>
      </w:r>
    </w:p>
    <w:p w14:paraId="4F0C88E3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code that future humans and code agents can both maintain.</w:t>
      </w:r>
    </w:p>
    <w:p w14:paraId="6B71E239">
      <w:pPr>
        <w:pStyle w:val="5"/>
      </w:pPr>
      <w:bookmarkStart w:id="12" w:name="_Toc18848"/>
      <w:r>
        <w:rPr>
          <w:rFonts w:ascii="Calibri" w:hAnsi="Calibri" w:eastAsia="微软雅黑"/>
          <w:b w:val="0"/>
          <w:i w:val="0"/>
        </w:rPr>
        <w:t>5.2 Capability-to-evidence map</w:t>
      </w:r>
      <w:bookmarkEnd w:id="12"/>
    </w:p>
    <w:tbl>
      <w:tblPr>
        <w:tblStyle w:val="36"/>
        <w:tblW w:w="9360" w:type="dxa"/>
        <w:tblInd w:w="120" w:type="dxa"/>
        <w:tblBorders>
          <w:top w:val="single" w:color="C8D2DC" w:sz="6" w:space="0"/>
          <w:left w:val="single" w:color="C8D2DC" w:sz="6" w:space="0"/>
          <w:bottom w:val="single" w:color="C8D2DC" w:sz="6" w:space="0"/>
          <w:right w:val="single" w:color="C8D2DC" w:sz="6" w:space="0"/>
          <w:insideH w:val="single" w:color="C8D2DC" w:sz="6" w:space="0"/>
          <w:insideV w:val="single" w:color="C8D2DC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250"/>
        <w:gridCol w:w="4510"/>
      </w:tblGrid>
      <w:tr w14:paraId="2B894A26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7AD49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Capability</w:t>
            </w:r>
          </w:p>
        </w:tc>
        <w:tc>
          <w:tcPr>
            <w:tcW w:w="12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D47C9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Strongest evidence</w:t>
            </w:r>
          </w:p>
        </w:tc>
        <w:tc>
          <w:tcPr>
            <w:tcW w:w="12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12E9E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Confidence</w:t>
            </w:r>
          </w:p>
        </w:tc>
        <w:tc>
          <w:tcPr>
            <w:tcW w:w="451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5FA2B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Interview defense</w:t>
            </w:r>
          </w:p>
        </w:tc>
      </w:tr>
      <w:tr w14:paraId="37F0C2CF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02D2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Typed execution contracts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389B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PDSH task contracts and fail-closed policies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ADDF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High internally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F237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Explain state, invariant, transition, failure, receipt</w:t>
            </w:r>
          </w:p>
        </w:tc>
      </w:tr>
      <w:tr w14:paraId="6DEDE485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670A6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Evaluation discipline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FE72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Fixed sets, benchmark cards, regression gates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13AC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Medium-high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6065D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Define baseline, metrics, threshold, confidence, rollback</w:t>
            </w:r>
          </w:p>
        </w:tc>
      </w:tr>
      <w:tr w14:paraId="40BA86BA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08BF0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Debugging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A42C5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Merged boundary fixes in major OSS repositories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F646D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High publicly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9DE0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Walk one failure from reproduction to regression test</w:t>
            </w:r>
          </w:p>
        </w:tc>
      </w:tr>
      <w:tr w14:paraId="33625652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C074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Full-stack delivery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BE558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PWEB and Cloudflare-deployed workflow systems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C3C83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High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F18FA7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Explain contract from UI to API to storage/deploy</w:t>
            </w:r>
          </w:p>
        </w:tc>
      </w:tr>
      <w:tr w14:paraId="6063960D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B1C56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Agentic coding judgment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009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Daily multi-model coding plus review gates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3D74D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Medium-high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C8EDA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Name failure modes; show when to reject model output</w:t>
            </w:r>
          </w:p>
        </w:tc>
      </w:tr>
      <w:tr w14:paraId="0CD95E55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3EB00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Observability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6D0B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Run receipts and state logs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7BA96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Medium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C4D4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Distinguish local auditability from distributed telemetry</w:t>
            </w:r>
          </w:p>
        </w:tc>
      </w:tr>
      <w:tr w14:paraId="227D8E8C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5B7B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Production scale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9EC67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No verified large-scale receipt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D19C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Low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E5680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Present migration design; do not claim ownership</w:t>
            </w:r>
          </w:p>
        </w:tc>
      </w:tr>
    </w:tbl>
    <w:p w14:paraId="52ABCCF2">
      <w:pPr>
        <w:spacing w:after="20"/>
      </w:pPr>
    </w:p>
    <w:p w14:paraId="056063D8">
      <w:pPr>
        <w:pStyle w:val="5"/>
      </w:pPr>
      <w:bookmarkStart w:id="13" w:name="_Toc8506"/>
      <w:r>
        <w:rPr>
          <w:rFonts w:ascii="Calibri" w:hAnsi="Calibri" w:eastAsia="微软雅黑"/>
          <w:b w:val="0"/>
          <w:i w:val="0"/>
        </w:rPr>
        <w:t>5.3 The strongest public evidence story</w:t>
      </w:r>
      <w:bookmarkEnd w:id="13"/>
    </w:p>
    <w:p w14:paraId="4570551D">
      <w:r>
        <w:rPr>
          <w:rFonts w:ascii="Calibri" w:hAnsi="Calibri" w:eastAsia="微软雅黑"/>
          <w:b w:val="0"/>
          <w:i w:val="0"/>
        </w:rPr>
        <w:t>The open-source story is not “many PRs.” It is a repeated engineering pattern:</w:t>
      </w:r>
    </w:p>
    <w:p w14:paraId="404FF00C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locate a semantic boundary in an unfamiliar codebase;</w:t>
      </w:r>
    </w:p>
    <w:p w14:paraId="282112BB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reproduce the failure with minimal scope;</w:t>
      </w:r>
    </w:p>
    <w:p w14:paraId="54D67BD7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preserve existing abstractions;</w:t>
      </w:r>
    </w:p>
    <w:p w14:paraId="402DCC08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add a regression test;</w:t>
      </w:r>
    </w:p>
    <w:p w14:paraId="22CDA90C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incorporate maintainer review;</w:t>
      </w:r>
    </w:p>
    <w:p w14:paraId="7F3679CB">
      <w:pPr>
        <w:numPr>
          <w:ilvl w:val="0"/>
          <w:numId w:val="8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stop when the boundary is fixed.</w:t>
      </w:r>
    </w:p>
    <w:p w14:paraId="0461EE7F">
      <w:r>
        <w:rPr>
          <w:rFonts w:ascii="Calibri" w:hAnsi="Calibri" w:eastAsia="微软雅黑"/>
          <w:b w:val="0"/>
          <w:i w:val="0"/>
        </w:rPr>
        <w:t>Examples include request-local API keys in LightRAG, bounded retry backoff in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Vibe-Trading, pagination validation in Tencent WeKnora, and malformed HTTP/HTML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boundary detection in OpenClaw. This pattern directly supports the JD's demand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for code quality, debugging, failure-mode awareness, and high-density iteration.</w:t>
      </w:r>
    </w:p>
    <w:p w14:paraId="6AF083EE">
      <w:pPr>
        <w:pStyle w:val="5"/>
      </w:pPr>
      <w:bookmarkStart w:id="14" w:name="_Toc7724"/>
      <w:r>
        <w:rPr>
          <w:rFonts w:ascii="Calibri" w:hAnsi="Calibri" w:eastAsia="微软雅黑"/>
          <w:b w:val="0"/>
          <w:i w:val="0"/>
        </w:rPr>
        <w:t>5.4 Eligibility and honesty gate</w:t>
      </w:r>
      <w:bookmarkEnd w:id="14"/>
    </w:p>
    <w:p w14:paraId="69721AC0">
      <w:r>
        <w:rPr>
          <w:rFonts w:ascii="Calibri" w:hAnsi="Calibri" w:eastAsia="微软雅黑"/>
          <w:b w:val="0"/>
          <w:i w:val="0"/>
        </w:rPr>
        <w:t>The role states two or more years of work experience. Pengyi's formal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post-graduation work history may not independently clear a strict tenure screen.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The application should still proceed because the plus factors explicitly value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open source, personal projects, 0-to-1 Agent products, and intensive agentic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coding. The CV must keep dates exact and let the reviewer decide equivalence.</w:t>
      </w:r>
    </w:p>
    <w:p w14:paraId="6BBF83EB">
      <w:pPr>
        <w:pBdr>
          <w:bottom w:val="single" w:color="B7C5D1" w:sz="4" w:space="2"/>
        </w:pBdr>
      </w:pPr>
    </w:p>
    <w:p w14:paraId="01199C63">
      <w:pPr>
        <w:pStyle w:val="4"/>
      </w:pPr>
      <w:bookmarkStart w:id="15" w:name="_Toc4547"/>
      <w:r>
        <w:rPr>
          <w:rFonts w:ascii="Calibri" w:hAnsi="Calibri" w:eastAsia="微软雅黑"/>
          <w:b w:val="0"/>
          <w:i w:val="0"/>
        </w:rPr>
        <w:t>6. Candidate positioning</w:t>
      </w:r>
      <w:bookmarkEnd w:id="15"/>
    </w:p>
    <w:p w14:paraId="5610F82E">
      <w:pPr>
        <w:pStyle w:val="5"/>
      </w:pPr>
      <w:bookmarkStart w:id="16" w:name="_Toc22188"/>
      <w:r>
        <w:rPr>
          <w:rFonts w:ascii="Calibri" w:hAnsi="Calibri" w:eastAsia="微软雅黑"/>
          <w:b w:val="0"/>
          <w:i w:val="0"/>
        </w:rPr>
        <w:t>6.1 One-sentence positioning</w:t>
      </w:r>
      <w:bookmarkEnd w:id="16"/>
    </w:p>
    <w:p w14:paraId="3CA7BE52">
      <w:pPr>
        <w:pBdr>
          <w:bottom w:val="single" w:color="C38B2A" w:sz="8" w:space="4"/>
        </w:pBdr>
        <w:spacing w:before="120" w:after="160"/>
        <w:ind w:left="360" w:right="216"/>
      </w:pPr>
      <w:r>
        <w:rPr>
          <w:rFonts w:ascii="Calibri" w:hAnsi="Calibri" w:eastAsia="微软雅黑"/>
          <w:b w:val="0"/>
          <w:i/>
          <w:color w:val="0B2545"/>
          <w:sz w:val="20"/>
        </w:rPr>
        <w:br w:type="textWrapping"/>
      </w:r>
      <w:r>
        <w:rPr>
          <w:rFonts w:ascii="Calibri" w:hAnsi="Calibri" w:eastAsia="微软雅黑"/>
          <w:b w:val="0"/>
          <w:i/>
          <w:color w:val="0B2545"/>
          <w:sz w:val="20"/>
        </w:rPr>
        <w:t>AI-native research and systems engineer who builds governed Agent execution,</w:t>
      </w:r>
      <w:r>
        <w:rPr>
          <w:rFonts w:ascii="Calibri" w:hAnsi="Calibri" w:eastAsia="微软雅黑"/>
          <w:b w:val="0"/>
          <w:i/>
          <w:color w:val="0B2545"/>
          <w:sz w:val="20"/>
        </w:rPr>
        <w:br w:type="textWrapping"/>
      </w:r>
      <w:r>
        <w:rPr>
          <w:rFonts w:ascii="Calibri" w:hAnsi="Calibri" w:eastAsia="微软雅黑"/>
          <w:b w:val="0"/>
          <w:i/>
          <w:color w:val="0B2545"/>
          <w:sz w:val="20"/>
        </w:rPr>
        <w:t>evaluation, and debugging workflows, then validates them through tests,</w:t>
      </w:r>
      <w:r>
        <w:rPr>
          <w:rFonts w:ascii="Calibri" w:hAnsi="Calibri" w:eastAsia="微软雅黑"/>
          <w:b w:val="0"/>
          <w:i/>
          <w:color w:val="0B2545"/>
          <w:sz w:val="20"/>
        </w:rPr>
        <w:br w:type="textWrapping"/>
      </w:r>
      <w:r>
        <w:rPr>
          <w:rFonts w:ascii="Calibri" w:hAnsi="Calibri" w:eastAsia="微软雅黑"/>
          <w:b w:val="0"/>
          <w:i/>
          <w:color w:val="0B2545"/>
          <w:sz w:val="20"/>
        </w:rPr>
        <w:t>receipts, full-stack delivery, and maintainer-reviewed open-source fixes.</w:t>
      </w:r>
      <w:r>
        <w:rPr>
          <w:rFonts w:ascii="Calibri" w:hAnsi="Calibri" w:eastAsia="微软雅黑"/>
          <w:b w:val="0"/>
          <w:i/>
          <w:color w:val="0B2545"/>
          <w:sz w:val="20"/>
        </w:rPr>
        <w:br w:type="textWrapping"/>
      </w:r>
    </w:p>
    <w:p w14:paraId="60143694">
      <w:pPr>
        <w:pStyle w:val="5"/>
      </w:pPr>
      <w:bookmarkStart w:id="17" w:name="_Toc19475"/>
      <w:r>
        <w:rPr>
          <w:rFonts w:ascii="Calibri" w:hAnsi="Calibri" w:eastAsia="微软雅黑"/>
          <w:b w:val="0"/>
          <w:i w:val="0"/>
        </w:rPr>
        <w:t>6.2 Evidence chain</w:t>
      </w:r>
      <w:bookmarkEnd w:id="17"/>
    </w:p>
    <w:p w14:paraId="5BEF29DF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Complex-systems training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quantitative experiment discipline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banking data/risk/operations context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Agent control plane and evaluation projects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typed full-stack deployments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maintainer-reviewed OSS debugging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Tencent Harness role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313B7560">
      <w:pPr>
        <w:pStyle w:val="5"/>
      </w:pPr>
      <w:bookmarkStart w:id="18" w:name="_Toc30184"/>
      <w:r>
        <w:rPr>
          <w:rFonts w:ascii="Calibri" w:hAnsi="Calibri" w:eastAsia="微软雅黑"/>
          <w:b w:val="0"/>
          <w:i w:val="0"/>
        </w:rPr>
        <w:t>6.3 Quantified evidence allowed in the CV</w:t>
      </w:r>
      <w:bookmarkEnd w:id="18"/>
    </w:p>
    <w:p w14:paraId="4A325D57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dsh-quant public source: 59 typed tools, six domains, 215 unit tests, zero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runtime dependencies.</w:t>
      </w:r>
    </w:p>
    <w:p w14:paraId="7F8704D8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WorldQuant 2024: 166 submitted Alpha studies in the private research archive;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competition ranks must use canonical evidence.</w:t>
      </w:r>
    </w:p>
    <w:p w14:paraId="2B592DA4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Selected merged PR links, using titles and URLs verified on 2026-09-01.</w:t>
      </w:r>
    </w:p>
    <w:p w14:paraId="1E07E82B">
      <w:pPr>
        <w:pStyle w:val="5"/>
      </w:pPr>
      <w:bookmarkStart w:id="19" w:name="_Toc5890"/>
      <w:r>
        <w:rPr>
          <w:rFonts w:ascii="Calibri" w:hAnsi="Calibri" w:eastAsia="微软雅黑"/>
          <w:b w:val="0"/>
          <w:i w:val="0"/>
        </w:rPr>
        <w:t>6.4 Evidence that must remain bounded</w:t>
      </w:r>
      <w:bookmarkEnd w:id="19"/>
    </w:p>
    <w:p w14:paraId="369B0949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PDSH and PAT are internal systems, not production customer platforms.</w:t>
      </w:r>
    </w:p>
    <w:p w14:paraId="0DA5D7BA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Deployed websites prove delivery, not traffic, adoption, or business impact.</w:t>
      </w:r>
    </w:p>
    <w:p w14:paraId="5434B654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 merged PR proves a contribution, not employment or endorsement.</w:t>
      </w:r>
    </w:p>
    <w:p w14:paraId="1B0271B9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Architecture proposals prove design judgment only after implementation and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benchmark boundaries are stated.</w:t>
      </w:r>
    </w:p>
    <w:p w14:paraId="245A6B39">
      <w:pPr>
        <w:pBdr>
          <w:bottom w:val="single" w:color="B7C5D1" w:sz="4" w:space="2"/>
        </w:pBdr>
      </w:pPr>
    </w:p>
    <w:p w14:paraId="7EE6F6E7">
      <w:pPr>
        <w:pStyle w:val="4"/>
      </w:pPr>
      <w:bookmarkStart w:id="20" w:name="_Toc25045"/>
      <w:r>
        <w:rPr>
          <w:rFonts w:ascii="Calibri" w:hAnsi="Calibri" w:eastAsia="微软雅黑"/>
          <w:b w:val="0"/>
          <w:i w:val="0"/>
        </w:rPr>
        <w:t>7. Proposed technical interview architecture</w:t>
      </w:r>
      <w:bookmarkEnd w:id="20"/>
    </w:p>
    <w:p w14:paraId="4D242C45">
      <w:pPr>
        <w:pStyle w:val="5"/>
      </w:pPr>
      <w:bookmarkStart w:id="21" w:name="_Toc6436"/>
      <w:r>
        <w:rPr>
          <w:rFonts w:ascii="Calibri" w:hAnsi="Calibri" w:eastAsia="微软雅黑"/>
          <w:b w:val="0"/>
          <w:i w:val="0"/>
        </w:rPr>
        <w:t>7.1 Canonical trace identity</w:t>
      </w:r>
      <w:bookmarkEnd w:id="21"/>
    </w:p>
    <w:p w14:paraId="3761E3C6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tenant -&gt; project -&gt; experiment -&gt; run -&gt; task -&gt; turn -&gt; step -&gt; tool_call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0310CAC3">
      <w:r>
        <w:rPr>
          <w:rFonts w:ascii="Calibri" w:hAnsi="Calibri" w:eastAsia="微软雅黑"/>
          <w:b w:val="0"/>
          <w:i w:val="0"/>
        </w:rPr>
        <w:t>Each event should include immutable IDs, timestamps, parent relationships,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attempt/supersession semantics, model/tool/config version, input/output artifact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references, error class, token/cost/latency measures, privacy classification,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and release eligibility.</w:t>
      </w:r>
    </w:p>
    <w:p w14:paraId="3BA26E6C">
      <w:pPr>
        <w:pStyle w:val="5"/>
      </w:pPr>
      <w:bookmarkStart w:id="22" w:name="_Toc1359"/>
      <w:r>
        <w:rPr>
          <w:rFonts w:ascii="Calibri" w:hAnsi="Calibri" w:eastAsia="微软雅黑"/>
          <w:b w:val="0"/>
          <w:i w:val="0"/>
        </w:rPr>
        <w:t>7.2 Event flow</w:t>
      </w:r>
      <w:bookmarkEnd w:id="22"/>
    </w:p>
    <w:p w14:paraId="1A2285AD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Agent runtime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append-only event ingestion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schema validation + redaction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durable event store + artifact store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online metrics / alerting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replay and bad-case workbench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evaluation runner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baseline comparison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regression gate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-&gt; release decision + receipt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5F968B6F">
      <w:pPr>
        <w:pStyle w:val="5"/>
      </w:pPr>
      <w:bookmarkStart w:id="23" w:name="_Toc15924"/>
      <w:r>
        <w:rPr>
          <w:rFonts w:ascii="Calibri" w:hAnsi="Calibri" w:eastAsia="微软雅黑"/>
          <w:b w:val="0"/>
          <w:i w:val="0"/>
        </w:rPr>
        <w:t>7.3 Evaluation design</w:t>
      </w:r>
      <w:bookmarkEnd w:id="23"/>
    </w:p>
    <w:p w14:paraId="12AB241F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fixed golden tasks plus versioned failure-case suites;</w:t>
      </w:r>
    </w:p>
    <w:p w14:paraId="668394FB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deterministic tool fixtures when live systems would add noise;</w:t>
      </w:r>
    </w:p>
    <w:p w14:paraId="05F9C22B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task outcome, trajectory quality, tool correctness, policy compliance,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latency, token/cost, and human-rework metrics;</w:t>
      </w:r>
    </w:p>
    <w:p w14:paraId="1FCF50A6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stratification by task type and known failure mode;</w:t>
      </w:r>
    </w:p>
    <w:p w14:paraId="3DDB92F7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A/B test with frozen model/config/tool versions;</w:t>
      </w:r>
    </w:p>
    <w:p w14:paraId="6D372684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confidence intervals or repeated stochastic runs where applicable;</w:t>
      </w:r>
    </w:p>
    <w:p w14:paraId="36047F72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automatic gate plus human review for ambiguous or high-impact cases;</w:t>
      </w:r>
    </w:p>
    <w:p w14:paraId="30F5C9E5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rollback receipt linked to the exact failing baseline comparison.</w:t>
      </w:r>
    </w:p>
    <w:p w14:paraId="1DD97DD7">
      <w:pPr>
        <w:pStyle w:val="5"/>
      </w:pPr>
      <w:bookmarkStart w:id="24" w:name="_Toc16457"/>
      <w:r>
        <w:rPr>
          <w:rFonts w:ascii="Calibri" w:hAnsi="Calibri" w:eastAsia="微软雅黑"/>
          <w:b w:val="0"/>
          <w:i w:val="0"/>
        </w:rPr>
        <w:t>7.4 Failure model</w:t>
      </w:r>
      <w:bookmarkEnd w:id="24"/>
    </w:p>
    <w:tbl>
      <w:tblPr>
        <w:tblStyle w:val="36"/>
        <w:tblW w:w="9360" w:type="dxa"/>
        <w:tblInd w:w="120" w:type="dxa"/>
        <w:tblBorders>
          <w:top w:val="single" w:color="C8D2DC" w:sz="6" w:space="0"/>
          <w:left w:val="single" w:color="C8D2DC" w:sz="6" w:space="0"/>
          <w:bottom w:val="single" w:color="C8D2DC" w:sz="6" w:space="0"/>
          <w:right w:val="single" w:color="C8D2DC" w:sz="6" w:space="0"/>
          <w:insideH w:val="single" w:color="C8D2DC" w:sz="6" w:space="0"/>
          <w:insideV w:val="single" w:color="C8D2DC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250"/>
        <w:gridCol w:w="4510"/>
      </w:tblGrid>
      <w:tr w14:paraId="0C2AA923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3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CC01A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Layer</w:t>
            </w:r>
          </w:p>
        </w:tc>
        <w:tc>
          <w:tcPr>
            <w:tcW w:w="12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B8ABB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Example</w:t>
            </w:r>
          </w:p>
        </w:tc>
        <w:tc>
          <w:tcPr>
            <w:tcW w:w="125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5ACA4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Detection</w:t>
            </w:r>
          </w:p>
        </w:tc>
        <w:tc>
          <w:tcPr>
            <w:tcW w:w="451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12C89">
            <w:pPr>
              <w:spacing w:before="0" w:after="0" w:line="252" w:lineRule="auto"/>
            </w:pPr>
            <w:r>
              <w:rPr>
                <w:rFonts w:ascii="Calibri" w:hAnsi="Calibri" w:eastAsia="微软雅黑"/>
                <w:b/>
                <w:i w:val="0"/>
                <w:color w:val="FFFFFF"/>
                <w:sz w:val="17"/>
              </w:rPr>
              <w:t>Response</w:t>
            </w:r>
          </w:p>
        </w:tc>
      </w:tr>
      <w:tr w14:paraId="0CC043DF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B6AB7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Input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104C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prompt injection or malformed task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C6FC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policy/schema gate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413D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reject or isolate</w:t>
            </w:r>
          </w:p>
        </w:tc>
      </w:tr>
      <w:tr w14:paraId="101B4B92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1C9C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Planning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02B4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wrong dependency order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1525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trajectory checker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BBE9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retry with bounded policy or fail</w:t>
            </w:r>
          </w:p>
        </w:tc>
      </w:tr>
      <w:tr w14:paraId="738C7158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8019F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Tool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BE8C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timeout, invalid index, side effect ambiguity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93F58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typed result + idempotency key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E08FD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supersede attempt; never double-commit</w:t>
            </w:r>
          </w:p>
        </w:tc>
      </w:tr>
      <w:tr w14:paraId="5C009DE8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AEBDE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Model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FF491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hallucinated state or tool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D5736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trace/eval rule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4E13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classify bad case and add regression fixture</w:t>
            </w:r>
          </w:p>
        </w:tc>
      </w:tr>
      <w:tr w14:paraId="4D172D7E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84B64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Platform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BFE99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queue loss, clock skew, partial write</w:t>
            </w:r>
          </w:p>
        </w:tc>
        <w:tc>
          <w:tcPr>
            <w:tcW w:w="12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B8A0C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durable sequence and reconciliation</w:t>
            </w:r>
          </w:p>
        </w:tc>
        <w:tc>
          <w:tcPr>
            <w:tcW w:w="45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E3420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quarantine run and rebuild receipt</w:t>
            </w:r>
          </w:p>
        </w:tc>
      </w:tr>
      <w:tr w14:paraId="76002A08">
        <w:tblPrEx>
          <w:tblBorders>
            <w:top w:val="single" w:color="C8D2DC" w:sz="6" w:space="0"/>
            <w:left w:val="single" w:color="C8D2DC" w:sz="6" w:space="0"/>
            <w:bottom w:val="single" w:color="C8D2DC" w:sz="6" w:space="0"/>
            <w:right w:val="single" w:color="C8D2DC" w:sz="6" w:space="0"/>
            <w:insideH w:val="single" w:color="C8D2DC" w:sz="6" w:space="0"/>
            <w:insideV w:val="single" w:color="C8D2DC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5AE43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Evaluation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6E292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judge drift or leakage</w:t>
            </w:r>
          </w:p>
        </w:tc>
        <w:tc>
          <w:tcPr>
            <w:tcW w:w="12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CD8AE3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judge versioning and holdout audit</w:t>
            </w:r>
          </w:p>
        </w:tc>
        <w:tc>
          <w:tcPr>
            <w:tcW w:w="451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89183">
            <w:pPr>
              <w:spacing w:before="0" w:after="0" w:line="252" w:lineRule="auto"/>
            </w:pPr>
            <w:r>
              <w:rPr>
                <w:rFonts w:ascii="Calibri" w:hAnsi="Calibri" w:eastAsia="微软雅黑"/>
                <w:b w:val="0"/>
                <w:i w:val="0"/>
                <w:color w:val="1B2733"/>
                <w:sz w:val="17"/>
              </w:rPr>
              <w:t>invalidate comparison and rerun</w:t>
            </w:r>
          </w:p>
        </w:tc>
      </w:tr>
    </w:tbl>
    <w:p w14:paraId="247C3EE8">
      <w:pPr>
        <w:spacing w:after="20"/>
      </w:pPr>
    </w:p>
    <w:p w14:paraId="56C0EA19">
      <w:pPr>
        <w:pBdr>
          <w:bottom w:val="single" w:color="B7C5D1" w:sz="4" w:space="2"/>
        </w:pBdr>
      </w:pPr>
    </w:p>
    <w:p w14:paraId="344A60F5">
      <w:pPr>
        <w:pStyle w:val="4"/>
      </w:pPr>
      <w:bookmarkStart w:id="25" w:name="_Toc1265"/>
      <w:r>
        <w:rPr>
          <w:rFonts w:ascii="Calibri" w:hAnsi="Calibri" w:eastAsia="微软雅黑"/>
          <w:b w:val="0"/>
          <w:i w:val="0"/>
        </w:rPr>
        <w:t>8. Cross-border FX quant path</w:t>
      </w:r>
      <w:bookmarkEnd w:id="25"/>
    </w:p>
    <w:p w14:paraId="5E364948">
      <w:r>
        <w:rPr>
          <w:rFonts w:ascii="Calibri" w:hAnsi="Calibri" w:eastAsia="微软雅黑"/>
          <w:b w:val="0"/>
          <w:i w:val="0"/>
        </w:rPr>
        <w:t>The FX role forms a second, differentiated path: banking domain context plus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quant/data-product engineering. It asks for platform-data modeling, online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strategy monitoring, an owned FX data system, customer FX profiling, and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quantitative business support.</w:t>
      </w:r>
    </w:p>
    <w:p w14:paraId="11DFBDE5">
      <w:r>
        <w:rPr>
          <w:rFonts w:ascii="Calibri" w:hAnsi="Calibri" w:eastAsia="微软雅黑"/>
          <w:b w:val="0"/>
          <w:i w:val="0"/>
        </w:rPr>
        <w:t>Pengyi has credible transferable evidence in banking, multi-source quantitative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research, data quality, and AI-assisted workflows. The hard gaps are live FX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strategy optimization, counterparty behavior cases, and the three-year gate.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Therefore the correct action is a targeted conversation and a separate future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PCV bundle, not dilution of the Harness Package 008.</w:t>
      </w:r>
    </w:p>
    <w:p w14:paraId="1DDC96AA">
      <w:r>
        <w:rPr>
          <w:rFonts w:ascii="Calibri" w:hAnsi="Calibri" w:eastAsia="微软雅黑"/>
          <w:b w:val="0"/>
          <w:i w:val="0"/>
        </w:rPr>
        <w:t xml:space="preserve">See </w:t>
      </w:r>
      <w:r>
        <w:rPr>
          <w:rFonts w:ascii="Consolas" w:hAnsi="Consolas" w:eastAsia="微软雅黑"/>
          <w:b w:val="0"/>
          <w:i w:val="0"/>
          <w:color w:val="1F4D78"/>
          <w:sz w:val="18"/>
          <w:shd w:val="clear" w:fill="F2F4F7"/>
        </w:rPr>
        <w:t>TENCENT_FX_QUANT_PRODUCT_DUE_DILIGENCE_20260901.md</w:t>
      </w:r>
      <w:r>
        <w:rPr>
          <w:rFonts w:ascii="Calibri" w:hAnsi="Calibri" w:eastAsia="微软雅黑"/>
          <w:b w:val="0"/>
          <w:i w:val="0"/>
        </w:rPr>
        <w:t xml:space="preserve"> for the dedicated analysis.</w:t>
      </w:r>
    </w:p>
    <w:p w14:paraId="49471BC6">
      <w:pPr>
        <w:pBdr>
          <w:bottom w:val="single" w:color="B7C5D1" w:sz="4" w:space="2"/>
        </w:pBdr>
      </w:pPr>
    </w:p>
    <w:p w14:paraId="0E0DD996">
      <w:pPr>
        <w:pStyle w:val="4"/>
      </w:pPr>
      <w:bookmarkStart w:id="26" w:name="_Toc8880"/>
      <w:r>
        <w:rPr>
          <w:rFonts w:ascii="Calibri" w:hAnsi="Calibri" w:eastAsia="微软雅黑"/>
          <w:b w:val="0"/>
          <w:i w:val="0"/>
        </w:rPr>
        <w:t>9. Application campaign</w:t>
      </w:r>
      <w:bookmarkEnd w:id="26"/>
    </w:p>
    <w:p w14:paraId="510BAA1C">
      <w:pPr>
        <w:pStyle w:val="5"/>
      </w:pPr>
      <w:bookmarkStart w:id="27" w:name="_Toc24829"/>
      <w:r>
        <w:rPr>
          <w:rFonts w:ascii="Calibri" w:hAnsi="Calibri" w:eastAsia="微软雅黑"/>
          <w:b w:val="0"/>
          <w:i w:val="0"/>
        </w:rPr>
        <w:t>9.1 Asset contract</w:t>
      </w:r>
      <w:bookmarkEnd w:id="27"/>
    </w:p>
    <w:p w14:paraId="24E603D7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PCV Package 008:</w:t>
      </w:r>
      <w:r>
        <w:rPr>
          <w:rFonts w:ascii="Calibri" w:hAnsi="Calibri" w:eastAsia="微软雅黑"/>
          <w:b w:val="0"/>
          <w:i w:val="0"/>
        </w:rPr>
        <w:t xml:space="preserve"> CN ATS master, EN ATS, CN profile, EN profile; one-page,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current JD, verified claims only.</w:t>
      </w:r>
    </w:p>
    <w:p w14:paraId="254D1365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Application site:</w:t>
      </w:r>
      <w:r>
        <w:rPr>
          <w:rFonts w:ascii="Calibri" w:hAnsi="Calibri" w:eastAsia="微软雅黑"/>
          <w:b w:val="0"/>
          <w:i w:val="0"/>
        </w:rPr>
        <w:t xml:space="preserve"> four CV surfaces, evidence links, role-specific thesis,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and claim boundary.</w:t>
      </w:r>
    </w:p>
    <w:p w14:paraId="13442103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PIT Package 008:</w:t>
      </w:r>
      <w:r>
        <w:rPr>
          <w:rFonts w:ascii="Calibri" w:hAnsi="Calibri" w:eastAsia="微软雅黑"/>
          <w:b w:val="0"/>
          <w:i w:val="0"/>
        </w:rPr>
        <w:t xml:space="preserve"> technical Q&amp;A, system design, behavioral, project defense,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OSS defense, Tencent KYC, mock plan, scorecard, weakness tracker.</w:t>
      </w:r>
    </w:p>
    <w:p w14:paraId="592BA46C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/>
          <w:i w:val="0"/>
        </w:rPr>
        <w:t>PEXT:</w:t>
      </w:r>
      <w:r>
        <w:rPr>
          <w:rFonts w:ascii="Calibri" w:hAnsi="Calibri" w:eastAsia="微软雅黑"/>
          <w:b w:val="0"/>
          <w:i w:val="0"/>
        </w:rPr>
        <w:t xml:space="preserve"> state transitions and evidence receipts; no </w:t>
      </w:r>
      <w:r>
        <w:rPr>
          <w:rFonts w:ascii="Consolas" w:hAnsi="Consolas" w:eastAsia="微软雅黑"/>
          <w:b w:val="0"/>
          <w:i w:val="0"/>
          <w:color w:val="1F4D78"/>
          <w:sz w:val="18"/>
          <w:shd w:val="clear" w:fill="F2F4F7"/>
        </w:rPr>
        <w:t>EXECUTED</w:t>
      </w:r>
      <w:r>
        <w:rPr>
          <w:rFonts w:ascii="Calibri" w:hAnsi="Calibri" w:eastAsia="微软雅黑"/>
          <w:b w:val="0"/>
          <w:i w:val="0"/>
        </w:rPr>
        <w:t xml:space="preserve"> state before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 xml:space="preserve"> the real confirmation exists.</w:t>
      </w:r>
    </w:p>
    <w:p w14:paraId="56A731C9">
      <w:pPr>
        <w:pStyle w:val="5"/>
      </w:pPr>
      <w:bookmarkStart w:id="28" w:name="_Toc3942"/>
      <w:r>
        <w:rPr>
          <w:rFonts w:ascii="Calibri" w:hAnsi="Calibri" w:eastAsia="微软雅黑"/>
          <w:b w:val="0"/>
          <w:i w:val="0"/>
        </w:rPr>
        <w:t>9.2 Human Gate checklist</w:t>
      </w:r>
      <w:bookmarkEnd w:id="28"/>
    </w:p>
    <w:p w14:paraId="1517EF4F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Confirm role remains active and Shenzhen is selectable.</w:t>
      </w:r>
    </w:p>
    <w:p w14:paraId="389996C6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Review every date, metric, link, and private/public boundary.</w:t>
      </w:r>
    </w:p>
    <w:p w14:paraId="26E6AFCD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Select CN ATS for primary submission; keep EN ATS ready.</w:t>
      </w:r>
    </w:p>
    <w:p w14:paraId="3D4FA5A6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Confirm phone, email, location preference, notice period, and mobility.</w:t>
      </w:r>
    </w:p>
    <w:p w14:paraId="4F64793E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Complete one 45-minute system-design mock and one 30-minute OSS defense.</w:t>
      </w:r>
    </w:p>
    <w:p w14:paraId="60666791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Decide whether to request warm context before or immediately after apply.</w:t>
      </w:r>
    </w:p>
    <w:p w14:paraId="5C7D95E3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Submit through the official page and capture the confirmation receipt.</w:t>
      </w:r>
    </w:p>
    <w:p w14:paraId="2BB6A8B9">
      <w:pPr>
        <w:numPr>
          <w:ilvl w:val="0"/>
          <w:numId w:val="7"/>
        </w:numPr>
        <w:spacing w:after="160" w:line="280" w:lineRule="auto"/>
      </w:pPr>
      <w:r>
        <w:rPr>
          <w:rFonts w:ascii="Calibri" w:hAnsi="Calibri" w:eastAsia="微软雅黑"/>
          <w:b w:val="0"/>
          <w:i w:val="0"/>
        </w:rPr>
        <w:t>[ ] Follow up at day 7 only if there is no response.</w:t>
      </w:r>
    </w:p>
    <w:p w14:paraId="217E44CB">
      <w:pPr>
        <w:pStyle w:val="5"/>
      </w:pPr>
      <w:bookmarkStart w:id="29" w:name="_Toc30833"/>
      <w:r>
        <w:rPr>
          <w:rFonts w:ascii="Calibri" w:hAnsi="Calibri" w:eastAsia="微软雅黑"/>
          <w:b w:val="0"/>
          <w:i w:val="0"/>
        </w:rPr>
        <w:t>9.3 Immediate execution order</w:t>
      </w:r>
      <w:bookmarkEnd w:id="29"/>
    </w:p>
    <w:p w14:paraId="00864541">
      <w:pPr>
        <w:spacing w:after="160"/>
        <w:ind w:left="360" w:right="216"/>
      </w:pPr>
      <w:r>
        <w:rPr>
          <w:rFonts w:ascii="Consolas" w:hAnsi="Consolas" w:eastAsia="微软雅黑"/>
          <w:color w:val="1F4D78"/>
          <w:sz w:val="17"/>
        </w:rPr>
        <w:t>G0 Target captured COMPLETE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G1 Public research COMPLETE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G2 Fit decision COMPLETE: APPLY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G3 CV/evidence ready BUILDING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G4 Human review PENDING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G5 Application executed PENDING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G6 Follow-up PENDING</w:t>
      </w:r>
      <w:r>
        <w:rPr>
          <w:rFonts w:ascii="Consolas" w:hAnsi="Consolas" w:eastAsia="微软雅黑"/>
          <w:color w:val="1F4D78"/>
          <w:sz w:val="17"/>
        </w:rPr>
        <w:br w:type="textWrapping"/>
      </w:r>
      <w:r>
        <w:rPr>
          <w:rFonts w:ascii="Consolas" w:hAnsi="Consolas" w:eastAsia="微软雅黑"/>
          <w:color w:val="1F4D78"/>
          <w:sz w:val="17"/>
        </w:rPr>
        <w:t>G7 Closed outcome PENDING</w:t>
      </w:r>
      <w:r>
        <w:rPr>
          <w:rFonts w:ascii="Consolas" w:hAnsi="Consolas" w:eastAsia="微软雅黑"/>
          <w:color w:val="1F4D78"/>
          <w:sz w:val="17"/>
        </w:rPr>
        <w:br w:type="textWrapping"/>
      </w:r>
    </w:p>
    <w:p w14:paraId="5C981A30">
      <w:pPr>
        <w:pBdr>
          <w:bottom w:val="single" w:color="B7C5D1" w:sz="4" w:space="2"/>
        </w:pBdr>
      </w:pPr>
    </w:p>
    <w:p w14:paraId="1BFF90FE">
      <w:pPr>
        <w:pStyle w:val="4"/>
      </w:pPr>
      <w:bookmarkStart w:id="30" w:name="_Toc4080"/>
      <w:r>
        <w:rPr>
          <w:rFonts w:ascii="Calibri" w:hAnsi="Calibri" w:eastAsia="微软雅黑"/>
          <w:b w:val="0"/>
          <w:i w:val="0"/>
        </w:rPr>
        <w:t>10. Final verdict</w:t>
      </w:r>
      <w:bookmarkEnd w:id="30"/>
    </w:p>
    <w:p w14:paraId="6DDB5B04">
      <w:r>
        <w:rPr>
          <w:rFonts w:ascii="Calibri" w:hAnsi="Calibri" w:eastAsia="微软雅黑"/>
          <w:b/>
          <w:i w:val="0"/>
        </w:rPr>
        <w:t>Primary:</w:t>
      </w:r>
      <w:r>
        <w:rPr>
          <w:rFonts w:ascii="Calibri" w:hAnsi="Calibri" w:eastAsia="微软雅黑"/>
          <w:b w:val="0"/>
          <w:i w:val="0"/>
        </w:rPr>
        <w:t xml:space="preserve"> apply to the Harness role as soon as Package 008 passes Human Gate.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Adjacent:</w:t>
      </w:r>
      <w:r>
        <w:rPr>
          <w:rFonts w:ascii="Calibri" w:hAnsi="Calibri" w:eastAsia="微软雅黑"/>
          <w:b w:val="0"/>
          <w:i w:val="0"/>
        </w:rPr>
        <w:t xml:space="preserve"> prepare Agent Infra and Data/Environment as the next two branches.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Quant:</w:t>
      </w:r>
      <w:r>
        <w:rPr>
          <w:rFonts w:ascii="Calibri" w:hAnsi="Calibri" w:eastAsia="微软雅黑"/>
          <w:b w:val="0"/>
          <w:i w:val="0"/>
        </w:rPr>
        <w:t xml:space="preserve"> open a bounded FX quant conversation, but do not use the Harness CV.</w:t>
      </w:r>
      <w:r>
        <w:br w:type="textWrapping"/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/>
          <w:i w:val="0"/>
        </w:rPr>
        <w:t>Narrative:</w:t>
      </w:r>
      <w:r>
        <w:rPr>
          <w:rFonts w:ascii="Calibri" w:hAnsi="Calibri" w:eastAsia="微软雅黑"/>
          <w:b w:val="0"/>
          <w:i w:val="0"/>
        </w:rPr>
        <w:t xml:space="preserve"> the differentiator is not generic enthusiasm for Agents; it is an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evidence-backed ability to turn non-deterministic Agent behavior into governed,</w:t>
      </w:r>
      <w:r>
        <w:rPr>
          <w:rFonts w:ascii="Calibri" w:hAnsi="Calibri" w:eastAsia="微软雅黑"/>
          <w:b w:val="0"/>
          <w:i w:val="0"/>
        </w:rPr>
        <w:br w:type="textWrapping"/>
      </w:r>
      <w:r>
        <w:rPr>
          <w:rFonts w:ascii="Calibri" w:hAnsi="Calibri" w:eastAsia="微软雅黑"/>
          <w:b w:val="0"/>
          <w:i w:val="0"/>
        </w:rPr>
        <w:t>observable, testable, debuggable, and releasable engineering systems.</w:t>
      </w:r>
    </w:p>
    <w:p w14:paraId="6EA3BBDB">
      <w:pPr>
        <w:pBdr>
          <w:bottom w:val="single" w:color="B7C5D1" w:sz="4" w:space="2"/>
        </w:pBdr>
      </w:pPr>
    </w:p>
    <w:p w14:paraId="454DCC61">
      <w:pPr>
        <w:pStyle w:val="4"/>
      </w:pPr>
      <w:bookmarkStart w:id="31" w:name="_Toc831"/>
      <w:r>
        <w:rPr>
          <w:rFonts w:ascii="Calibri" w:hAnsi="Calibri" w:eastAsia="微软雅黑"/>
          <w:b w:val="0"/>
          <w:i w:val="0"/>
        </w:rPr>
        <w:t>Sources</w:t>
      </w:r>
      <w:bookmarkEnd w:id="31"/>
    </w:p>
    <w:p w14:paraId="63146800">
      <w:pPr>
        <w:pStyle w:val="5"/>
      </w:pPr>
      <w:bookmarkStart w:id="32" w:name="_Toc9945"/>
      <w:r>
        <w:rPr>
          <w:rFonts w:ascii="Calibri" w:hAnsi="Calibri" w:eastAsia="微软雅黑"/>
          <w:b w:val="0"/>
          <w:i w:val="0"/>
        </w:rPr>
        <w:t>Official hiring</w:t>
      </w:r>
      <w:bookmarkEnd w:id="32"/>
    </w:p>
    <w:p w14:paraId="569C7E91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"https://careers.tencent.com/jobdesc.html?postId=2052685072754196480"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Harness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1490CEF6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"https://careers.tencent.com/jobdesc.html?postId=2082754347585941504"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Agent Eval Infra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63B8BD47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"https://careers.tencent.com/jobdesc.html?postId=2089355403136774144"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Eval Observability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2344CB4E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"https://careers.tencent.com/jobdesc.html?postId=2086743606953160704"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Agent Infra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6DA22D0A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"https://careers.tencent.com/jobdesc.html?postId=2061654752378400768"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Agent Data and Environment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72B653D7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"https://careers.tencent.com/jobdesc.html?postId=2061654749727600640"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Agent RL Framework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7E1A69A1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"https://careers.tencent.com/jobdesc.html?postId=2061654747139719168"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Sandbox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502788DD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"https://careers.tencent.com/jobdesc.html?postId=2092447906002022400"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FinTech Agent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33F1CB2F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"https://careers.tencent.com/jobdesc.html?postId=2085259521378398208"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FX Quant Product role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57D8E9E3">
      <w:pPr>
        <w:pStyle w:val="5"/>
      </w:pPr>
      <w:bookmarkStart w:id="33" w:name="_Toc681"/>
      <w:r>
        <w:rPr>
          <w:rFonts w:ascii="Calibri" w:hAnsi="Calibri" w:eastAsia="微软雅黑"/>
          <w:b w:val="0"/>
          <w:i w:val="0"/>
        </w:rPr>
        <w:t>Official/public technical context</w:t>
      </w:r>
      <w:bookmarkEnd w:id="33"/>
    </w:p>
    <w:p w14:paraId="40ECFE1F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"https://www.tencent.com/tencent-hunyuan-officially-releases-hy3-advancing-agent-capabilities-and-deeper-product-integration/"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Hy3 release, 2026-07-06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3103B03B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"https://static.www.tencent.com/uploads/2026/05/13/59cf8219adbb046153f69387479350ac.pdf"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Q1 2026 results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5876A7EE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"https://github.com/TencentCloudAgentRuntime"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Cloud Agent Runtime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347959C1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"https://github.com/Tencent-Hunyuan/C3-Benchmark"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Tencent-Hunyuan C3-Benchmark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20CC4DCA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"https://github.com/Tencent/CUARewardBench"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CUARewardBench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04C68B55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"https://github.com/Tencent/AI-Infra-Guard"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Tencent AI-Infra-Guard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5291B5C5">
      <w:pPr>
        <w:pStyle w:val="5"/>
      </w:pPr>
      <w:bookmarkStart w:id="34" w:name="_Toc7632"/>
      <w:r>
        <w:rPr>
          <w:rFonts w:ascii="Calibri" w:hAnsi="Calibri" w:eastAsia="微软雅黑"/>
          <w:b w:val="0"/>
          <w:i w:val="0"/>
        </w:rPr>
        <w:t>Candidate public evidence</w:t>
      </w:r>
      <w:bookmarkEnd w:id="34"/>
    </w:p>
    <w:p w14:paraId="70D658B8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"https://github.com/pengpengyi92/dsh-quant"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dsh-quant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599E2A37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"https://github.com/HKUDS/LightRAG/pull/3717"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LightRAG #3717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0297812A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"https://github.com/HKUDS/Vibe-Trading/pull/1210"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Vibe-Trading #1210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0A636BD4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"https://github.com/HKUDS/CLI-Anything/pull/421"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CLI-Anything #421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63ACA72A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"https://github.com/Tencent/WeKnora/pull/2776"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WeKnora #2776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p w14:paraId="12F1D0AD">
      <w:pPr>
        <w:numPr>
          <w:ilvl w:val="0"/>
          <w:numId w:val="7"/>
        </w:numPr>
        <w:spacing w:after="160" w:line="280" w:lineRule="auto"/>
      </w:pPr>
      <w:r>
        <w:fldChar w:fldCharType="begin"/>
      </w:r>
      <w:r>
        <w:instrText xml:space="preserve"> HYPERLINK "https://github.com/openclaw/openclaw/pull/122290" \h </w:instrText>
      </w:r>
      <w:r>
        <w:fldChar w:fldCharType="separate"/>
      </w:r>
      <w:r>
        <w:rPr>
          <w:rFonts w:ascii="Calibri" w:hAnsi="Calibri" w:eastAsia="微软雅黑"/>
          <w:color w:val="2E74B5"/>
          <w:u w:val="single"/>
        </w:rPr>
        <w:t>OpenClaw #122290</w:t>
      </w:r>
      <w:r>
        <w:rPr>
          <w:rFonts w:ascii="Calibri" w:hAnsi="Calibri" w:eastAsia="微软雅黑"/>
          <w:color w:val="2E74B5"/>
          <w:u w:val="single"/>
        </w:rPr>
        <w:fldChar w:fldCharType="end"/>
      </w: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B91AD">
    <w:pPr>
      <w:pStyle w:val="25"/>
    </w:pPr>
  </w:p>
  <w:tbl>
    <w:tblPr>
      <w:tblStyle w:val="35"/>
      <w:tblW w:w="9360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500"/>
      <w:gridCol w:w="2860"/>
    </w:tblGrid>
    <w:tr w14:paraId="7621ACC4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5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4F2AFA">
          <w:pPr>
            <w:spacing w:after="0"/>
          </w:pPr>
          <w:r>
            <w:rPr>
              <w:rFonts w:ascii="Calibri" w:hAnsi="Calibri" w:eastAsia="微软雅黑"/>
              <w:color w:val="52677D"/>
              <w:sz w:val="16"/>
            </w:rPr>
            <w:t>Independent public-source analysis | Snapshot 2026-09-01</w:t>
          </w:r>
        </w:p>
      </w:tc>
      <w:tc>
        <w:tcPr>
          <w:tcW w:w="28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69EEC5B">
          <w:pPr>
            <w:spacing w:after="0"/>
            <w:jc w:val="right"/>
          </w:pPr>
          <w:r>
            <w:rPr>
              <w:rFonts w:ascii="Calibri" w:hAnsi="Calibri" w:eastAsia="微软雅黑"/>
              <w:color w:val="52677D"/>
              <w:sz w:val="16"/>
            </w:rPr>
            <w:t xml:space="preserve">Page 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Calibri" w:hAnsi="Calibri" w:eastAsia="微软雅黑"/>
              <w:color w:val="52677D"/>
              <w:sz w:val="16"/>
            </w:rPr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214BB5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7C7A1">
    <w:pPr>
      <w:pStyle w:val="26"/>
      <w:pBdr>
        <w:bottom w:val="single" w:color="B7C5D1" w:sz="4" w:space="3"/>
      </w:pBdr>
      <w:spacing w:after="0"/>
      <w:jc w:val="left"/>
    </w:pPr>
    <w:r>
      <w:rPr>
        <w:rFonts w:ascii="Calibri" w:hAnsi="Calibri" w:eastAsia="微软雅黑"/>
        <w:b/>
        <w:color w:val="52677D"/>
        <w:sz w:val="17"/>
      </w:rPr>
      <w:t>PCT RESEARCH | TENCENT AI AGENT CAMPAIGN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decimal"/>
      <w:lvlText w:val="%1."/>
      <w:lvlJc w:val="left"/>
      <w:pPr>
        <w:tabs>
          <w:tab w:val="left" w:pos="720"/>
        </w:tabs>
        <w:spacing w:after="160" w:line="280" w:lineRule="auto"/>
        <w:ind w:left="720" w:hanging="360"/>
      </w:p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tabs>
          <w:tab w:val="left" w:pos="720"/>
        </w:tabs>
        <w:spacing w:after="160" w:line="280" w:lineRule="auto"/>
        <w:ind w:left="72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0C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264" w:lineRule="auto"/>
    </w:pPr>
    <w:rPr>
      <w:rFonts w:ascii="Calibri" w:hAnsi="Calibri" w:eastAsia="微软雅黑" w:cstheme="minorBidi"/>
      <w:color w:val="1B2733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320" w:after="160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40" w:after="120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1F4D78"/>
      <w:sz w:val="23"/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uiPriority w:val="1"/>
  </w:style>
  <w:style w:type="table" w:default="1" w:styleId="3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Calibri" w:hAnsi="Calibri" w:eastAsia="微软雅黑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9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7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toc 3"/>
    <w:basedOn w:val="1"/>
    <w:next w:val="1"/>
    <w:semiHidden/>
    <w:unhideWhenUsed/>
    <w:uiPriority w:val="39"/>
    <w:pPr>
      <w:ind w:left="840" w:leftChars="400"/>
    </w:pPr>
  </w:style>
  <w:style w:type="paragraph" w:styleId="25">
    <w:name w:val="footer"/>
    <w:basedOn w:val="1"/>
    <w:link w:val="1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toc 1"/>
    <w:basedOn w:val="1"/>
    <w:next w:val="1"/>
    <w:semiHidden/>
    <w:unhideWhenUsed/>
    <w:uiPriority w:val="39"/>
  </w:style>
  <w:style w:type="paragraph" w:styleId="28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uiPriority w:val="99"/>
    <w:pPr>
      <w:ind w:left="360" w:hanging="360"/>
      <w:contextualSpacing/>
    </w:pPr>
  </w:style>
  <w:style w:type="paragraph" w:styleId="30">
    <w:name w:val="toc 2"/>
    <w:basedOn w:val="1"/>
    <w:next w:val="1"/>
    <w:semiHidden/>
    <w:unhideWhenUsed/>
    <w:uiPriority w:val="39"/>
    <w:pPr>
      <w:ind w:left="420" w:leftChars="200"/>
    </w:pPr>
  </w:style>
  <w:style w:type="paragraph" w:styleId="31">
    <w:name w:val="Body Text 2"/>
    <w:basedOn w:val="1"/>
    <w:link w:val="148"/>
    <w:unhideWhenUsed/>
    <w:uiPriority w:val="99"/>
    <w:pPr>
      <w:spacing w:after="120" w:line="480" w:lineRule="auto"/>
    </w:pPr>
  </w:style>
  <w:style w:type="paragraph" w:styleId="32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4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customStyle="1" w:styleId="138">
    <w:name w:val="Header Char"/>
    <w:basedOn w:val="135"/>
    <w:link w:val="26"/>
    <w:uiPriority w:val="99"/>
  </w:style>
  <w:style w:type="character" w:customStyle="1" w:styleId="139">
    <w:name w:val="Footer Char"/>
    <w:basedOn w:val="135"/>
    <w:link w:val="25"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5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5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5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5"/>
    <w:link w:val="34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5"/>
    <w:link w:val="2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5"/>
    <w:link w:val="19"/>
    <w:uiPriority w:val="99"/>
  </w:style>
  <w:style w:type="character" w:customStyle="1" w:styleId="148">
    <w:name w:val="Body Text 2 Char"/>
    <w:basedOn w:val="135"/>
    <w:link w:val="31"/>
    <w:uiPriority w:val="99"/>
  </w:style>
  <w:style w:type="character" w:customStyle="1" w:styleId="149">
    <w:name w:val="Body Text 3 Char"/>
    <w:basedOn w:val="135"/>
    <w:link w:val="17"/>
    <w:uiPriority w:val="99"/>
    <w:rPr>
      <w:sz w:val="16"/>
      <w:szCs w:val="16"/>
    </w:rPr>
  </w:style>
  <w:style w:type="character" w:customStyle="1" w:styleId="150">
    <w:name w:val="Macro Text Char"/>
    <w:basedOn w:val="135"/>
    <w:link w:val="2"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rFonts w:ascii="Calibri" w:hAnsi="Calibri" w:eastAsia="微软雅黑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5"/>
    <w:link w:val="15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5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5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5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5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5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5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5"/>
    <w:link w:val="159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5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PCT - Pengyi Career Team</dc:creator>
  <dc:description>Independent public-source analysis. No Jane Street affiliation or internal access.</dc:description>
  <cp:keywords>Jane Street; Hong Kong; hiring; quantitative trading; technology; PCT</cp:keywords>
  <cp:lastModifiedBy>汪汪汪</cp:lastModifiedBy>
  <dcterms:modified xsi:type="dcterms:W3CDTF">2026-09-01T04:06:59Z</dcterms:modified>
  <dc:subject>PCT public-source hiring intelligence report</dc:subject>
  <dc:title>Jane Street Hong Kong Hiring and Development Panorama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9717CC2A8D544FEBBC35CA33A28B391D_12</vt:lpwstr>
  </property>
</Properties>
</file>